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7C8D5" w14:textId="47B39E17" w:rsidR="005857F6" w:rsidRPr="007E7F61" w:rsidRDefault="005857F6" w:rsidP="005857F6">
      <w:pPr>
        <w:pStyle w:val="a7"/>
        <w:tabs>
          <w:tab w:val="left" w:pos="709"/>
          <w:tab w:val="right" w:pos="9639"/>
        </w:tabs>
        <w:wordWrap w:val="0"/>
        <w:spacing w:after="0"/>
        <w:ind w:right="120"/>
        <w:jc w:val="right"/>
        <w:rPr>
          <w:rFonts w:cs="Times New Roman"/>
        </w:rPr>
      </w:pPr>
      <w:r w:rsidRPr="007E7F61">
        <w:rPr>
          <w:rFonts w:cs="Times New Roman"/>
        </w:rPr>
        <w:t>3GPP TSG-RAN WG2 #1</w:t>
      </w:r>
      <w:r w:rsidR="00AF66DC">
        <w:rPr>
          <w:rFonts w:cs="Times New Roman" w:hint="eastAsia"/>
        </w:rPr>
        <w:t>31bis</w:t>
      </w:r>
      <w:r w:rsidRPr="007E7F61">
        <w:rPr>
          <w:rFonts w:cs="Times New Roman"/>
        </w:rPr>
        <w:tab/>
        <w:t>R2-2</w:t>
      </w:r>
      <w:r w:rsidR="00B75B6B" w:rsidRPr="007E7F61">
        <w:rPr>
          <w:rFonts w:cs="Times New Roman"/>
        </w:rPr>
        <w:t>5</w:t>
      </w:r>
      <w:r w:rsidR="00FD5B7C">
        <w:rPr>
          <w:rFonts w:cs="Times New Roman" w:hint="eastAsia"/>
        </w:rPr>
        <w:t>07619</w:t>
      </w:r>
    </w:p>
    <w:p w14:paraId="298061C1" w14:textId="46B61488" w:rsidR="005857F6" w:rsidRPr="007E7F61" w:rsidRDefault="00AF66DC" w:rsidP="005857F6">
      <w:pPr>
        <w:pStyle w:val="a7"/>
        <w:tabs>
          <w:tab w:val="left" w:pos="709"/>
          <w:tab w:val="right" w:pos="9639"/>
        </w:tabs>
        <w:spacing w:after="0"/>
        <w:jc w:val="left"/>
        <w:rPr>
          <w:rFonts w:cs="Times New Roman"/>
          <w:lang w:val="en-US"/>
        </w:rPr>
      </w:pPr>
      <w:r>
        <w:rPr>
          <w:rFonts w:cs="Times New Roman" w:hint="eastAsia"/>
          <w:lang w:val="en-US"/>
        </w:rPr>
        <w:t>Prague</w:t>
      </w:r>
      <w:r w:rsidR="005857F6" w:rsidRPr="007E7F61">
        <w:rPr>
          <w:rFonts w:cs="Times New Roman"/>
          <w:lang w:val="en-US"/>
        </w:rPr>
        <w:t xml:space="preserve">, </w:t>
      </w:r>
      <w:r>
        <w:rPr>
          <w:rFonts w:cs="Times New Roman" w:hint="eastAsia"/>
          <w:lang w:val="en-US"/>
        </w:rPr>
        <w:t>Czech Republic,</w:t>
      </w:r>
      <w:r w:rsidR="005857F6" w:rsidRPr="007E7F61">
        <w:rPr>
          <w:rFonts w:cs="Times New Roman"/>
          <w:lang w:val="en-US"/>
        </w:rPr>
        <w:t xml:space="preserve"> </w:t>
      </w:r>
      <w:r>
        <w:rPr>
          <w:rFonts w:cs="Times New Roman" w:hint="eastAsia"/>
          <w:lang w:val="en-US"/>
        </w:rPr>
        <w:t>13</w:t>
      </w:r>
      <w:r w:rsidRPr="00AF66DC">
        <w:rPr>
          <w:rFonts w:cs="Times New Roman" w:hint="eastAsia"/>
          <w:vertAlign w:val="superscript"/>
          <w:lang w:val="en-US"/>
        </w:rPr>
        <w:t>th</w:t>
      </w:r>
      <w:r>
        <w:rPr>
          <w:rFonts w:cs="Times New Roman" w:hint="eastAsia"/>
          <w:lang w:val="en-US"/>
        </w:rPr>
        <w:t xml:space="preserve"> </w:t>
      </w:r>
      <w:r w:rsidR="005857F6" w:rsidRPr="007E7F61">
        <w:rPr>
          <w:rFonts w:cs="Times New Roman"/>
          <w:lang w:val="en-US"/>
        </w:rPr>
        <w:t xml:space="preserve">– </w:t>
      </w:r>
      <w:r>
        <w:rPr>
          <w:rFonts w:cs="Times New Roman" w:hint="eastAsia"/>
          <w:lang w:val="en-US"/>
        </w:rPr>
        <w:t>17</w:t>
      </w:r>
      <w:r w:rsidRPr="00AF66DC">
        <w:rPr>
          <w:rFonts w:cs="Times New Roman" w:hint="eastAsia"/>
          <w:vertAlign w:val="superscript"/>
          <w:lang w:val="en-US"/>
        </w:rPr>
        <w:t>th</w:t>
      </w:r>
      <w:r>
        <w:rPr>
          <w:rFonts w:cs="Times New Roman" w:hint="eastAsia"/>
          <w:lang w:val="en-US"/>
        </w:rPr>
        <w:t xml:space="preserve"> October</w:t>
      </w:r>
      <w:r w:rsidR="005857F6" w:rsidRPr="007E7F61">
        <w:rPr>
          <w:rFonts w:cs="Times New Roman"/>
          <w:lang w:val="en-US"/>
        </w:rPr>
        <w:t xml:space="preserve"> 202</w:t>
      </w:r>
      <w:r>
        <w:rPr>
          <w:rFonts w:cs="Times New Roman" w:hint="eastAsia"/>
          <w:lang w:val="en-US"/>
        </w:rPr>
        <w:t>5</w:t>
      </w:r>
    </w:p>
    <w:p w14:paraId="6D9519F2" w14:textId="35536308" w:rsidR="007E2FC8" w:rsidRPr="007E7F61" w:rsidRDefault="007E2FC8" w:rsidP="007E2FC8">
      <w:pPr>
        <w:keepNext/>
        <w:pBdr>
          <w:top w:val="single" w:sz="4" w:space="1" w:color="auto"/>
        </w:pBdr>
        <w:tabs>
          <w:tab w:val="left" w:pos="2552"/>
        </w:tabs>
        <w:ind w:left="2550" w:hanging="2550"/>
        <w:rPr>
          <w:rFonts w:cs="Times New Roman"/>
          <w:b/>
          <w:sz w:val="24"/>
        </w:rPr>
      </w:pPr>
      <w:r w:rsidRPr="007E7F61">
        <w:rPr>
          <w:rFonts w:cs="Times New Roman"/>
          <w:b/>
          <w:sz w:val="24"/>
        </w:rPr>
        <w:t>Source:</w:t>
      </w:r>
      <w:r w:rsidR="002B674A" w:rsidRPr="007E7F61">
        <w:rPr>
          <w:rFonts w:cs="Times New Roman"/>
          <w:b/>
          <w:sz w:val="24"/>
        </w:rPr>
        <w:tab/>
      </w:r>
      <w:r w:rsidRPr="007E7F61">
        <w:rPr>
          <w:rFonts w:cs="Times New Roman"/>
          <w:b/>
          <w:sz w:val="24"/>
        </w:rPr>
        <w:t>NTT DOCOMO, INC.</w:t>
      </w:r>
    </w:p>
    <w:p w14:paraId="0C115227" w14:textId="5D9DFFC5" w:rsidR="007E2FC8" w:rsidRPr="007E7F61" w:rsidRDefault="007E2FC8" w:rsidP="002B674A">
      <w:pPr>
        <w:keepNext/>
        <w:pBdr>
          <w:top w:val="single" w:sz="4" w:space="1" w:color="auto"/>
        </w:pBdr>
        <w:tabs>
          <w:tab w:val="left" w:pos="2552"/>
        </w:tabs>
        <w:ind w:left="2550" w:hanging="2550"/>
        <w:rPr>
          <w:rFonts w:cs="Times New Roman"/>
          <w:b/>
          <w:sz w:val="24"/>
        </w:rPr>
      </w:pPr>
      <w:r w:rsidRPr="007E7F61">
        <w:rPr>
          <w:rFonts w:cs="Times New Roman"/>
          <w:b/>
          <w:sz w:val="24"/>
        </w:rPr>
        <w:t>Title:</w:t>
      </w:r>
      <w:r w:rsidR="002B674A" w:rsidRPr="007E7F61">
        <w:rPr>
          <w:rFonts w:cs="Times New Roman"/>
          <w:b/>
          <w:sz w:val="24"/>
        </w:rPr>
        <w:tab/>
      </w:r>
      <w:r w:rsidR="003F210F" w:rsidRPr="003F210F">
        <w:rPr>
          <w:rFonts w:cs="Times New Roman"/>
          <w:b/>
          <w:sz w:val="24"/>
        </w:rPr>
        <w:t>Initial discussion on introduction of Topology 2</w:t>
      </w:r>
    </w:p>
    <w:p w14:paraId="0F8951C0" w14:textId="4B49D1B0" w:rsidR="007E2FC8" w:rsidRPr="007E7F61" w:rsidRDefault="007E2FC8" w:rsidP="007E2FC8">
      <w:pPr>
        <w:keepNext/>
        <w:tabs>
          <w:tab w:val="left" w:pos="2552"/>
        </w:tabs>
        <w:rPr>
          <w:rFonts w:cs="Times New Roman"/>
          <w:b/>
          <w:sz w:val="24"/>
        </w:rPr>
      </w:pPr>
      <w:r w:rsidRPr="007E7F61">
        <w:rPr>
          <w:rFonts w:cs="Times New Roman"/>
          <w:b/>
          <w:sz w:val="24"/>
        </w:rPr>
        <w:t>Document for:</w:t>
      </w:r>
      <w:r w:rsidR="002B674A" w:rsidRPr="007E7F61">
        <w:rPr>
          <w:rFonts w:cs="Times New Roman"/>
          <w:b/>
          <w:sz w:val="24"/>
        </w:rPr>
        <w:tab/>
      </w:r>
      <w:r w:rsidRPr="007E7F61">
        <w:rPr>
          <w:rFonts w:cs="Times New Roman"/>
          <w:b/>
          <w:sz w:val="24"/>
        </w:rPr>
        <w:t>Discussion</w:t>
      </w:r>
    </w:p>
    <w:p w14:paraId="2211F357" w14:textId="2CE7EA90" w:rsidR="007E2FC8" w:rsidRPr="007E7F61" w:rsidRDefault="007E2FC8" w:rsidP="007E2FC8">
      <w:pPr>
        <w:keepNext/>
        <w:pBdr>
          <w:bottom w:val="single" w:sz="4" w:space="1" w:color="auto"/>
        </w:pBdr>
        <w:tabs>
          <w:tab w:val="left" w:pos="2552"/>
        </w:tabs>
        <w:rPr>
          <w:rFonts w:cs="Times New Roman"/>
          <w:b/>
          <w:sz w:val="24"/>
        </w:rPr>
      </w:pPr>
      <w:r w:rsidRPr="007E7F61">
        <w:rPr>
          <w:rFonts w:cs="Times New Roman"/>
          <w:b/>
          <w:sz w:val="24"/>
        </w:rPr>
        <w:t>Agenda Item:</w:t>
      </w:r>
      <w:r w:rsidR="002B674A" w:rsidRPr="007E7F61">
        <w:rPr>
          <w:rFonts w:cs="Times New Roman"/>
          <w:b/>
          <w:sz w:val="24"/>
        </w:rPr>
        <w:tab/>
      </w:r>
      <w:r w:rsidR="003F210F">
        <w:rPr>
          <w:rFonts w:cs="Times New Roman" w:hint="eastAsia"/>
          <w:b/>
          <w:sz w:val="24"/>
        </w:rPr>
        <w:t>9</w:t>
      </w:r>
      <w:r w:rsidRPr="007E7F61">
        <w:rPr>
          <w:rFonts w:cs="Times New Roman"/>
          <w:b/>
          <w:sz w:val="24"/>
        </w:rPr>
        <w:t>.</w:t>
      </w:r>
      <w:r w:rsidR="005E2917">
        <w:rPr>
          <w:rFonts w:cs="Times New Roman" w:hint="eastAsia"/>
          <w:b/>
          <w:sz w:val="24"/>
        </w:rPr>
        <w:t>2</w:t>
      </w:r>
      <w:r w:rsidRPr="007E7F61">
        <w:rPr>
          <w:rFonts w:cs="Times New Roman"/>
          <w:b/>
          <w:sz w:val="24"/>
        </w:rPr>
        <w:t>.</w:t>
      </w:r>
      <w:r w:rsidR="005E2917">
        <w:rPr>
          <w:rFonts w:cs="Times New Roman" w:hint="eastAsia"/>
          <w:b/>
          <w:sz w:val="24"/>
        </w:rPr>
        <w:t>2</w:t>
      </w:r>
    </w:p>
    <w:p w14:paraId="25B11A1D" w14:textId="77777777" w:rsidR="007E2FC8" w:rsidRPr="007E7F61" w:rsidRDefault="007E2FC8" w:rsidP="007E2FC8">
      <w:pPr>
        <w:pStyle w:val="2"/>
        <w:numPr>
          <w:ilvl w:val="0"/>
          <w:numId w:val="1"/>
        </w:numPr>
        <w:rPr>
          <w:rFonts w:ascii="Times New Roman" w:hAnsi="Times New Roman"/>
        </w:rPr>
      </w:pPr>
      <w:r w:rsidRPr="007E7F61">
        <w:rPr>
          <w:rFonts w:ascii="Times New Roman" w:hAnsi="Times New Roman"/>
        </w:rPr>
        <w:t>Introduction</w:t>
      </w:r>
    </w:p>
    <w:p w14:paraId="16438548" w14:textId="07E6B1C3" w:rsidR="007E2FC8" w:rsidRDefault="0022600F" w:rsidP="0001078E">
      <w:r>
        <w:rPr>
          <w:rFonts w:hint="eastAsia"/>
        </w:rPr>
        <w:t xml:space="preserve">This contribution is to provide </w:t>
      </w:r>
      <w:r w:rsidR="00C358AF">
        <w:t>our</w:t>
      </w:r>
      <w:r>
        <w:rPr>
          <w:rFonts w:hint="eastAsia"/>
        </w:rPr>
        <w:t xml:space="preserve"> views on </w:t>
      </w:r>
      <w:r w:rsidR="00350DF7">
        <w:rPr>
          <w:rFonts w:hint="eastAsia"/>
        </w:rPr>
        <w:t>kick-off of normative work for introduction of Topology 2.</w:t>
      </w:r>
    </w:p>
    <w:p w14:paraId="21017226" w14:textId="77777777" w:rsidR="0022600F" w:rsidRPr="0022600F" w:rsidRDefault="0022600F" w:rsidP="0001078E"/>
    <w:p w14:paraId="375CDE38" w14:textId="77777777" w:rsidR="007E2FC8" w:rsidRPr="007E7F61" w:rsidRDefault="007E2FC8" w:rsidP="007E2FC8">
      <w:pPr>
        <w:pStyle w:val="2"/>
        <w:numPr>
          <w:ilvl w:val="0"/>
          <w:numId w:val="2"/>
        </w:numPr>
        <w:rPr>
          <w:rFonts w:ascii="Times New Roman" w:hAnsi="Times New Roman"/>
        </w:rPr>
      </w:pPr>
      <w:r w:rsidRPr="007E7F61">
        <w:rPr>
          <w:rFonts w:ascii="Times New Roman" w:hAnsi="Times New Roman"/>
        </w:rPr>
        <w:t>Discussion</w:t>
      </w:r>
    </w:p>
    <w:p w14:paraId="622B372B" w14:textId="695BE397" w:rsidR="007E2FC8" w:rsidRPr="007E7F61" w:rsidRDefault="0019721B" w:rsidP="007E2FC8">
      <w:pPr>
        <w:pStyle w:val="2"/>
        <w:numPr>
          <w:ilvl w:val="1"/>
          <w:numId w:val="2"/>
        </w:numPr>
        <w:rPr>
          <w:rFonts w:ascii="Times New Roman" w:hAnsi="Times New Roman"/>
        </w:rPr>
      </w:pPr>
      <w:r>
        <w:rPr>
          <w:rFonts w:ascii="Times New Roman" w:hAnsi="Times New Roman" w:hint="eastAsia"/>
        </w:rPr>
        <w:t>Analysis of need for coordination between UE and gNB</w:t>
      </w:r>
    </w:p>
    <w:p w14:paraId="44E8F144" w14:textId="2345A3D0" w:rsidR="0083168F" w:rsidRDefault="008054C1" w:rsidP="007E2FC8">
      <w:pPr>
        <w:rPr>
          <w:rFonts w:cs="Times New Roman"/>
          <w:szCs w:val="22"/>
        </w:rPr>
      </w:pPr>
      <w:r w:rsidRPr="008054C1">
        <w:rPr>
          <w:rFonts w:cs="Times New Roman"/>
          <w:szCs w:val="22"/>
        </w:rPr>
        <w:t>In the Ambient IoT system under Release 20 Topology 2, it is preferable to reuse the A-IoT air interface from Release 19 Topology 1 as much as possible. In particular, regarding the upper layers, all functionalities that were supported by the A-IoT MAC layer in Release 19 should also be supported in Release 20 Topology 2</w:t>
      </w:r>
      <w:r>
        <w:rPr>
          <w:rFonts w:cs="Times New Roman" w:hint="eastAsia"/>
          <w:szCs w:val="22"/>
        </w:rPr>
        <w:t>.</w:t>
      </w:r>
    </w:p>
    <w:p w14:paraId="391021C8" w14:textId="4DC8444A" w:rsidR="008054C1" w:rsidRPr="0019721B" w:rsidRDefault="008054C1" w:rsidP="007E2FC8">
      <w:pPr>
        <w:rPr>
          <w:rFonts w:cs="Times New Roman"/>
          <w:szCs w:val="22"/>
        </w:rPr>
      </w:pPr>
      <w:r w:rsidRPr="008054C1">
        <w:rPr>
          <w:rFonts w:cs="Times New Roman"/>
          <w:szCs w:val="22"/>
        </w:rPr>
        <w:t xml:space="preserve">Based on this premise, this section analyzes </w:t>
      </w:r>
      <w:r>
        <w:rPr>
          <w:rFonts w:cs="Times New Roman" w:hint="eastAsia"/>
          <w:szCs w:val="22"/>
        </w:rPr>
        <w:t>all the</w:t>
      </w:r>
      <w:r w:rsidRPr="008054C1">
        <w:rPr>
          <w:rFonts w:cs="Times New Roman"/>
          <w:szCs w:val="22"/>
        </w:rPr>
        <w:t xml:space="preserve"> messages delivered by the MAC layer in Release 19 Ambient </w:t>
      </w:r>
      <w:r w:rsidR="00BB03A7" w:rsidRPr="008054C1">
        <w:rPr>
          <w:rFonts w:cs="Times New Roman"/>
          <w:szCs w:val="22"/>
        </w:rPr>
        <w:t>IoT and</w:t>
      </w:r>
      <w:r w:rsidRPr="008054C1">
        <w:rPr>
          <w:rFonts w:cs="Times New Roman"/>
          <w:szCs w:val="22"/>
        </w:rPr>
        <w:t xml:space="preserve"> identifies the information elements that are likely to require message exchange between the UE and gNB when the reader is replaced by a UE.</w:t>
      </w:r>
    </w:p>
    <w:tbl>
      <w:tblPr>
        <w:tblStyle w:val="3-6"/>
        <w:tblW w:w="9493" w:type="dxa"/>
        <w:tblLook w:val="04A0" w:firstRow="1" w:lastRow="0" w:firstColumn="1" w:lastColumn="0" w:noHBand="0" w:noVBand="1"/>
      </w:tblPr>
      <w:tblGrid>
        <w:gridCol w:w="2122"/>
        <w:gridCol w:w="2268"/>
        <w:gridCol w:w="5103"/>
      </w:tblGrid>
      <w:tr w:rsidR="008054C1" w14:paraId="5926C7A0" w14:textId="77777777" w:rsidTr="00FC1DBA">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122" w:type="dxa"/>
          </w:tcPr>
          <w:p w14:paraId="636BF8AD" w14:textId="20423C50" w:rsidR="008054C1" w:rsidRDefault="008054C1" w:rsidP="007E2FC8">
            <w:pPr>
              <w:rPr>
                <w:rFonts w:cs="Times New Roman"/>
                <w:szCs w:val="22"/>
              </w:rPr>
            </w:pPr>
            <w:r>
              <w:rPr>
                <w:rFonts w:cs="Times New Roman" w:hint="eastAsia"/>
                <w:szCs w:val="22"/>
              </w:rPr>
              <w:t>Message</w:t>
            </w:r>
          </w:p>
        </w:tc>
        <w:tc>
          <w:tcPr>
            <w:tcW w:w="2268" w:type="dxa"/>
          </w:tcPr>
          <w:p w14:paraId="402FE712" w14:textId="3E281BE9" w:rsidR="008054C1" w:rsidRDefault="008054C1" w:rsidP="007E2FC8">
            <w:pPr>
              <w:cnfStyle w:val="100000000000" w:firstRow="1" w:lastRow="0" w:firstColumn="0" w:lastColumn="0" w:oddVBand="0" w:evenVBand="0" w:oddHBand="0" w:evenHBand="0" w:firstRowFirstColumn="0" w:firstRowLastColumn="0" w:lastRowFirstColumn="0" w:lastRowLastColumn="0"/>
              <w:rPr>
                <w:rFonts w:cs="Times New Roman"/>
                <w:szCs w:val="22"/>
              </w:rPr>
            </w:pPr>
            <w:r>
              <w:rPr>
                <w:rFonts w:cs="Times New Roman" w:hint="eastAsia"/>
                <w:szCs w:val="22"/>
              </w:rPr>
              <w:t>Information element</w:t>
            </w:r>
          </w:p>
        </w:tc>
        <w:tc>
          <w:tcPr>
            <w:tcW w:w="5103" w:type="dxa"/>
          </w:tcPr>
          <w:p w14:paraId="08C06D1E" w14:textId="246F6AF1" w:rsidR="008054C1" w:rsidRDefault="008054C1" w:rsidP="007E2FC8">
            <w:pPr>
              <w:cnfStyle w:val="100000000000" w:firstRow="1" w:lastRow="0" w:firstColumn="0" w:lastColumn="0" w:oddVBand="0" w:evenVBand="0" w:oddHBand="0" w:evenHBand="0" w:firstRowFirstColumn="0" w:firstRowLastColumn="0" w:lastRowFirstColumn="0" w:lastRowLastColumn="0"/>
              <w:rPr>
                <w:rFonts w:cs="Times New Roman"/>
                <w:szCs w:val="22"/>
              </w:rPr>
            </w:pPr>
            <w:r>
              <w:rPr>
                <w:rFonts w:cs="Times New Roman" w:hint="eastAsia"/>
                <w:szCs w:val="22"/>
              </w:rPr>
              <w:t>Need for coordination between UE and gNB</w:t>
            </w:r>
          </w:p>
        </w:tc>
      </w:tr>
      <w:tr w:rsidR="00935028" w14:paraId="5AE7AB8E" w14:textId="77777777" w:rsidTr="00FC1D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vMerge w:val="restart"/>
          </w:tcPr>
          <w:p w14:paraId="0C4F6CB8" w14:textId="4467C63A" w:rsidR="00935028" w:rsidRDefault="00935028" w:rsidP="007E2FC8">
            <w:pPr>
              <w:rPr>
                <w:rFonts w:cs="Times New Roman"/>
                <w:szCs w:val="22"/>
              </w:rPr>
            </w:pPr>
            <w:r>
              <w:rPr>
                <w:rFonts w:cs="Times New Roman" w:hint="eastAsia"/>
                <w:szCs w:val="22"/>
              </w:rPr>
              <w:t>Paging</w:t>
            </w:r>
          </w:p>
        </w:tc>
        <w:tc>
          <w:tcPr>
            <w:tcW w:w="2268" w:type="dxa"/>
          </w:tcPr>
          <w:p w14:paraId="5E0A8A56" w14:textId="6D0BBC4F" w:rsidR="00935028" w:rsidRDefault="00935028" w:rsidP="007E2FC8">
            <w:pPr>
              <w:cnfStyle w:val="000000100000" w:firstRow="0" w:lastRow="0" w:firstColumn="0" w:lastColumn="0" w:oddVBand="0" w:evenVBand="0" w:oddHBand="1" w:evenHBand="0" w:firstRowFirstColumn="0" w:firstRowLastColumn="0" w:lastRowFirstColumn="0" w:lastRowLastColumn="0"/>
              <w:rPr>
                <w:rFonts w:cs="Times New Roman"/>
                <w:szCs w:val="22"/>
              </w:rPr>
            </w:pPr>
            <w:r>
              <w:rPr>
                <w:rFonts w:cs="Times New Roman" w:hint="eastAsia"/>
                <w:szCs w:val="22"/>
              </w:rPr>
              <w:t>R2D Message Type</w:t>
            </w:r>
          </w:p>
        </w:tc>
        <w:tc>
          <w:tcPr>
            <w:tcW w:w="5103" w:type="dxa"/>
          </w:tcPr>
          <w:p w14:paraId="5569E79F" w14:textId="0029C613" w:rsidR="00935028" w:rsidRDefault="00935028" w:rsidP="007E2FC8">
            <w:pPr>
              <w:cnfStyle w:val="000000100000" w:firstRow="0" w:lastRow="0" w:firstColumn="0" w:lastColumn="0" w:oddVBand="0" w:evenVBand="0" w:oddHBand="1" w:evenHBand="0" w:firstRowFirstColumn="0" w:firstRowLastColumn="0" w:lastRowFirstColumn="0" w:lastRowLastColumn="0"/>
              <w:rPr>
                <w:rFonts w:cs="Times New Roman"/>
                <w:szCs w:val="22"/>
              </w:rPr>
            </w:pPr>
            <w:r>
              <w:rPr>
                <w:rFonts w:cs="Times New Roman" w:hint="eastAsia"/>
                <w:szCs w:val="22"/>
              </w:rPr>
              <w:t>No.</w:t>
            </w:r>
          </w:p>
        </w:tc>
      </w:tr>
      <w:tr w:rsidR="00935028" w14:paraId="4B476815" w14:textId="77777777" w:rsidTr="00FC1DBA">
        <w:tc>
          <w:tcPr>
            <w:cnfStyle w:val="001000000000" w:firstRow="0" w:lastRow="0" w:firstColumn="1" w:lastColumn="0" w:oddVBand="0" w:evenVBand="0" w:oddHBand="0" w:evenHBand="0" w:firstRowFirstColumn="0" w:firstRowLastColumn="0" w:lastRowFirstColumn="0" w:lastRowLastColumn="0"/>
            <w:tcW w:w="2122" w:type="dxa"/>
            <w:vMerge/>
          </w:tcPr>
          <w:p w14:paraId="7778D2EB" w14:textId="77777777" w:rsidR="00935028" w:rsidRDefault="00935028" w:rsidP="007E2FC8">
            <w:pPr>
              <w:rPr>
                <w:rFonts w:cs="Times New Roman"/>
                <w:szCs w:val="22"/>
              </w:rPr>
            </w:pPr>
          </w:p>
        </w:tc>
        <w:tc>
          <w:tcPr>
            <w:tcW w:w="2268" w:type="dxa"/>
          </w:tcPr>
          <w:p w14:paraId="7140846B" w14:textId="7F949B42" w:rsidR="00935028" w:rsidRDefault="00935028" w:rsidP="007E2FC8">
            <w:pPr>
              <w:cnfStyle w:val="000000000000" w:firstRow="0" w:lastRow="0" w:firstColumn="0" w:lastColumn="0" w:oddVBand="0" w:evenVBand="0" w:oddHBand="0" w:evenHBand="0" w:firstRowFirstColumn="0" w:firstRowLastColumn="0" w:lastRowFirstColumn="0" w:lastRowLastColumn="0"/>
              <w:rPr>
                <w:rFonts w:cs="Times New Roman"/>
                <w:szCs w:val="22"/>
              </w:rPr>
            </w:pPr>
            <w:r>
              <w:rPr>
                <w:rFonts w:cs="Times New Roman" w:hint="eastAsia"/>
                <w:szCs w:val="22"/>
              </w:rPr>
              <w:t>R2D TBS</w:t>
            </w:r>
          </w:p>
        </w:tc>
        <w:tc>
          <w:tcPr>
            <w:tcW w:w="5103" w:type="dxa"/>
          </w:tcPr>
          <w:p w14:paraId="5324F13C" w14:textId="0522DECA" w:rsidR="00935028" w:rsidRDefault="00935028" w:rsidP="007E2FC8">
            <w:pPr>
              <w:cnfStyle w:val="000000000000" w:firstRow="0" w:lastRow="0" w:firstColumn="0" w:lastColumn="0" w:oddVBand="0" w:evenVBand="0" w:oddHBand="0" w:evenHBand="0" w:firstRowFirstColumn="0" w:firstRowLastColumn="0" w:lastRowFirstColumn="0" w:lastRowLastColumn="0"/>
              <w:rPr>
                <w:rFonts w:cs="Times New Roman"/>
                <w:szCs w:val="22"/>
              </w:rPr>
            </w:pPr>
            <w:r>
              <w:rPr>
                <w:rFonts w:cs="Times New Roman" w:hint="eastAsia"/>
                <w:szCs w:val="22"/>
              </w:rPr>
              <w:t>No.</w:t>
            </w:r>
          </w:p>
        </w:tc>
      </w:tr>
      <w:tr w:rsidR="00935028" w14:paraId="782ACE3D" w14:textId="77777777" w:rsidTr="00FC1D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vMerge/>
          </w:tcPr>
          <w:p w14:paraId="2DE1BFBF" w14:textId="77777777" w:rsidR="00935028" w:rsidRDefault="00935028" w:rsidP="007E2FC8">
            <w:pPr>
              <w:rPr>
                <w:rFonts w:cs="Times New Roman"/>
                <w:szCs w:val="22"/>
              </w:rPr>
            </w:pPr>
          </w:p>
        </w:tc>
        <w:tc>
          <w:tcPr>
            <w:tcW w:w="2268" w:type="dxa"/>
          </w:tcPr>
          <w:p w14:paraId="4885D99A" w14:textId="27A77B1F" w:rsidR="00935028" w:rsidRDefault="00935028" w:rsidP="007E2FC8">
            <w:pPr>
              <w:cnfStyle w:val="000000100000" w:firstRow="0" w:lastRow="0" w:firstColumn="0" w:lastColumn="0" w:oddVBand="0" w:evenVBand="0" w:oddHBand="1" w:evenHBand="0" w:firstRowFirstColumn="0" w:firstRowLastColumn="0" w:lastRowFirstColumn="0" w:lastRowLastColumn="0"/>
              <w:rPr>
                <w:rFonts w:cs="Times New Roman"/>
                <w:szCs w:val="22"/>
              </w:rPr>
            </w:pPr>
            <w:r>
              <w:rPr>
                <w:rFonts w:cs="Times New Roman" w:hint="eastAsia"/>
                <w:szCs w:val="22"/>
              </w:rPr>
              <w:t>Transaction ID</w:t>
            </w:r>
          </w:p>
        </w:tc>
        <w:tc>
          <w:tcPr>
            <w:tcW w:w="5103" w:type="dxa"/>
          </w:tcPr>
          <w:p w14:paraId="51F9D345" w14:textId="012C76A6" w:rsidR="00935028" w:rsidRDefault="00935028" w:rsidP="007E2FC8">
            <w:pPr>
              <w:cnfStyle w:val="000000100000" w:firstRow="0" w:lastRow="0" w:firstColumn="0" w:lastColumn="0" w:oddVBand="0" w:evenVBand="0" w:oddHBand="1" w:evenHBand="0" w:firstRowFirstColumn="0" w:firstRowLastColumn="0" w:lastRowFirstColumn="0" w:lastRowLastColumn="0"/>
              <w:rPr>
                <w:rFonts w:cs="Times New Roman"/>
                <w:szCs w:val="22"/>
              </w:rPr>
            </w:pPr>
            <w:r>
              <w:rPr>
                <w:rFonts w:cs="Times New Roman" w:hint="eastAsia"/>
                <w:szCs w:val="22"/>
              </w:rPr>
              <w:t xml:space="preserve">Since the reader delivers Transaction ID from Correlation ID generated in AIOTF, the </w:t>
            </w:r>
            <w:r w:rsidR="0073527D">
              <w:rPr>
                <w:rFonts w:cs="Times New Roman" w:hint="eastAsia"/>
                <w:szCs w:val="22"/>
              </w:rPr>
              <w:t xml:space="preserve">gNB needs to forward the </w:t>
            </w:r>
            <w:r>
              <w:rPr>
                <w:rFonts w:cs="Times New Roman" w:hint="eastAsia"/>
                <w:szCs w:val="22"/>
              </w:rPr>
              <w:t>Correlation ID</w:t>
            </w:r>
            <w:r w:rsidR="0073527D">
              <w:rPr>
                <w:rFonts w:cs="Times New Roman" w:hint="eastAsia"/>
                <w:szCs w:val="22"/>
              </w:rPr>
              <w:t xml:space="preserve"> received from the CN</w:t>
            </w:r>
            <w:r>
              <w:rPr>
                <w:rFonts w:cs="Times New Roman" w:hint="eastAsia"/>
                <w:szCs w:val="22"/>
              </w:rPr>
              <w:t xml:space="preserve"> </w:t>
            </w:r>
            <w:r w:rsidR="0073527D">
              <w:rPr>
                <w:rFonts w:cs="Times New Roman" w:hint="eastAsia"/>
                <w:szCs w:val="22"/>
              </w:rPr>
              <w:t>to the UE reader</w:t>
            </w:r>
            <w:r>
              <w:rPr>
                <w:rFonts w:cs="Times New Roman" w:hint="eastAsia"/>
                <w:szCs w:val="22"/>
              </w:rPr>
              <w:t>.</w:t>
            </w:r>
            <w:r w:rsidR="0073527D">
              <w:rPr>
                <w:rFonts w:cs="Times New Roman" w:hint="eastAsia"/>
                <w:szCs w:val="22"/>
              </w:rPr>
              <w:t xml:space="preserve"> This information may not have to be visible by the gNB.</w:t>
            </w:r>
          </w:p>
        </w:tc>
      </w:tr>
      <w:tr w:rsidR="00935028" w14:paraId="10399A1C" w14:textId="77777777" w:rsidTr="00FC1DBA">
        <w:tc>
          <w:tcPr>
            <w:cnfStyle w:val="001000000000" w:firstRow="0" w:lastRow="0" w:firstColumn="1" w:lastColumn="0" w:oddVBand="0" w:evenVBand="0" w:oddHBand="0" w:evenHBand="0" w:firstRowFirstColumn="0" w:firstRowLastColumn="0" w:lastRowFirstColumn="0" w:lastRowLastColumn="0"/>
            <w:tcW w:w="2122" w:type="dxa"/>
            <w:vMerge/>
          </w:tcPr>
          <w:p w14:paraId="68D95EA4" w14:textId="77777777" w:rsidR="00935028" w:rsidRDefault="00935028" w:rsidP="007E2FC8">
            <w:pPr>
              <w:rPr>
                <w:rFonts w:cs="Times New Roman"/>
                <w:szCs w:val="22"/>
              </w:rPr>
            </w:pPr>
          </w:p>
        </w:tc>
        <w:tc>
          <w:tcPr>
            <w:tcW w:w="2268" w:type="dxa"/>
          </w:tcPr>
          <w:p w14:paraId="7610A47F" w14:textId="0B26E578" w:rsidR="00935028" w:rsidRDefault="00935028" w:rsidP="007E2FC8">
            <w:pPr>
              <w:cnfStyle w:val="000000000000" w:firstRow="0" w:lastRow="0" w:firstColumn="0" w:lastColumn="0" w:oddVBand="0" w:evenVBand="0" w:oddHBand="0" w:evenHBand="0" w:firstRowFirstColumn="0" w:firstRowLastColumn="0" w:lastRowFirstColumn="0" w:lastRowLastColumn="0"/>
              <w:rPr>
                <w:rFonts w:cs="Times New Roman"/>
                <w:szCs w:val="22"/>
              </w:rPr>
            </w:pPr>
            <w:r>
              <w:rPr>
                <w:rFonts w:cs="Times New Roman" w:hint="eastAsia"/>
                <w:szCs w:val="22"/>
              </w:rPr>
              <w:t>Paging ID</w:t>
            </w:r>
          </w:p>
        </w:tc>
        <w:tc>
          <w:tcPr>
            <w:tcW w:w="5103" w:type="dxa"/>
          </w:tcPr>
          <w:p w14:paraId="7783A40E" w14:textId="0320992D" w:rsidR="00935028" w:rsidRDefault="0073527D" w:rsidP="007E2FC8">
            <w:pPr>
              <w:cnfStyle w:val="000000000000" w:firstRow="0" w:lastRow="0" w:firstColumn="0" w:lastColumn="0" w:oddVBand="0" w:evenVBand="0" w:oddHBand="0" w:evenHBand="0" w:firstRowFirstColumn="0" w:firstRowLastColumn="0" w:lastRowFirstColumn="0" w:lastRowLastColumn="0"/>
              <w:rPr>
                <w:rFonts w:cs="Times New Roman"/>
                <w:szCs w:val="22"/>
              </w:rPr>
            </w:pPr>
            <w:r>
              <w:rPr>
                <w:rFonts w:cs="Times New Roman" w:hint="eastAsia"/>
                <w:szCs w:val="22"/>
              </w:rPr>
              <w:t>The gNB needs to forward Paging ID received from the CN to the UE reader. This information may not have to be visible by the gNB.</w:t>
            </w:r>
          </w:p>
        </w:tc>
      </w:tr>
      <w:tr w:rsidR="00935028" w14:paraId="658D0E77" w14:textId="77777777" w:rsidTr="00FC1D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vMerge/>
          </w:tcPr>
          <w:p w14:paraId="34D87FDA" w14:textId="77777777" w:rsidR="00935028" w:rsidRDefault="00935028" w:rsidP="007E2FC8">
            <w:pPr>
              <w:rPr>
                <w:rFonts w:cs="Times New Roman"/>
                <w:szCs w:val="22"/>
              </w:rPr>
            </w:pPr>
          </w:p>
        </w:tc>
        <w:tc>
          <w:tcPr>
            <w:tcW w:w="2268" w:type="dxa"/>
          </w:tcPr>
          <w:p w14:paraId="70ADA9D4" w14:textId="0B4EE5C4" w:rsidR="00935028" w:rsidRDefault="00935028" w:rsidP="007E2FC8">
            <w:pPr>
              <w:cnfStyle w:val="000000100000" w:firstRow="0" w:lastRow="0" w:firstColumn="0" w:lastColumn="0" w:oddVBand="0" w:evenVBand="0" w:oddHBand="1" w:evenHBand="0" w:firstRowFirstColumn="0" w:firstRowLastColumn="0" w:lastRowFirstColumn="0" w:lastRowLastColumn="0"/>
              <w:rPr>
                <w:rFonts w:cs="Times New Roman"/>
                <w:szCs w:val="22"/>
              </w:rPr>
            </w:pPr>
            <w:r>
              <w:rPr>
                <w:rFonts w:cs="Times New Roman" w:hint="eastAsia"/>
                <w:szCs w:val="22"/>
              </w:rPr>
              <w:t>D2R Scheduling Info</w:t>
            </w:r>
          </w:p>
        </w:tc>
        <w:tc>
          <w:tcPr>
            <w:tcW w:w="5103" w:type="dxa"/>
          </w:tcPr>
          <w:p w14:paraId="51592FD6" w14:textId="78D11C47" w:rsidR="00935028" w:rsidRDefault="00BE58B6" w:rsidP="007E2FC8">
            <w:pPr>
              <w:cnfStyle w:val="000000100000" w:firstRow="0" w:lastRow="0" w:firstColumn="0" w:lastColumn="0" w:oddVBand="0" w:evenVBand="0" w:oddHBand="1" w:evenHBand="0" w:firstRowFirstColumn="0" w:firstRowLastColumn="0" w:lastRowFirstColumn="0" w:lastRowLastColumn="0"/>
              <w:rPr>
                <w:rFonts w:cs="Times New Roman"/>
                <w:szCs w:val="22"/>
              </w:rPr>
            </w:pPr>
            <w:r>
              <w:rPr>
                <w:rFonts w:cs="Times New Roman" w:hint="eastAsia"/>
                <w:szCs w:val="22"/>
              </w:rPr>
              <w:t>The gNB needs to allocate radio resources for D2R scheduling by the UE reader.</w:t>
            </w:r>
          </w:p>
        </w:tc>
      </w:tr>
      <w:tr w:rsidR="00935028" w14:paraId="082D15B3" w14:textId="77777777" w:rsidTr="00FC1DBA">
        <w:tc>
          <w:tcPr>
            <w:cnfStyle w:val="001000000000" w:firstRow="0" w:lastRow="0" w:firstColumn="1" w:lastColumn="0" w:oddVBand="0" w:evenVBand="0" w:oddHBand="0" w:evenHBand="0" w:firstRowFirstColumn="0" w:firstRowLastColumn="0" w:lastRowFirstColumn="0" w:lastRowLastColumn="0"/>
            <w:tcW w:w="2122" w:type="dxa"/>
            <w:vMerge/>
          </w:tcPr>
          <w:p w14:paraId="55335370" w14:textId="77777777" w:rsidR="00935028" w:rsidRDefault="00935028" w:rsidP="007E2FC8">
            <w:pPr>
              <w:rPr>
                <w:rFonts w:cs="Times New Roman"/>
                <w:szCs w:val="22"/>
              </w:rPr>
            </w:pPr>
          </w:p>
        </w:tc>
        <w:tc>
          <w:tcPr>
            <w:tcW w:w="2268" w:type="dxa"/>
          </w:tcPr>
          <w:p w14:paraId="2D14E301" w14:textId="3E0065F9" w:rsidR="00935028" w:rsidRPr="008054C1" w:rsidRDefault="00935028" w:rsidP="007E2FC8">
            <w:pPr>
              <w:cnfStyle w:val="000000000000" w:firstRow="0" w:lastRow="0" w:firstColumn="0" w:lastColumn="0" w:oddVBand="0" w:evenVBand="0" w:oddHBand="0" w:evenHBand="0" w:firstRowFirstColumn="0" w:firstRowLastColumn="0" w:lastRowFirstColumn="0" w:lastRowLastColumn="0"/>
              <w:rPr>
                <w:rFonts w:cs="Times New Roman"/>
                <w:szCs w:val="22"/>
              </w:rPr>
            </w:pPr>
            <w:r>
              <w:rPr>
                <w:rFonts w:cs="Times New Roman" w:hint="eastAsia"/>
                <w:i/>
                <w:iCs/>
                <w:szCs w:val="22"/>
              </w:rPr>
              <w:t>K</w:t>
            </w:r>
            <w:r>
              <w:rPr>
                <w:rFonts w:cs="Times New Roman" w:hint="eastAsia"/>
                <w:szCs w:val="22"/>
              </w:rPr>
              <w:t xml:space="preserve"> value</w:t>
            </w:r>
          </w:p>
        </w:tc>
        <w:tc>
          <w:tcPr>
            <w:tcW w:w="5103" w:type="dxa"/>
          </w:tcPr>
          <w:p w14:paraId="155565BF" w14:textId="185EFE06" w:rsidR="00935028" w:rsidRDefault="00935028" w:rsidP="007E2FC8">
            <w:pPr>
              <w:cnfStyle w:val="000000000000" w:firstRow="0" w:lastRow="0" w:firstColumn="0" w:lastColumn="0" w:oddVBand="0" w:evenVBand="0" w:oddHBand="0" w:evenHBand="0" w:firstRowFirstColumn="0" w:firstRowLastColumn="0" w:lastRowFirstColumn="0" w:lastRowLastColumn="0"/>
              <w:rPr>
                <w:rFonts w:cs="Times New Roman"/>
                <w:szCs w:val="22"/>
              </w:rPr>
            </w:pPr>
            <w:r>
              <w:rPr>
                <w:rFonts w:cs="Times New Roman" w:hint="eastAsia"/>
                <w:szCs w:val="22"/>
              </w:rPr>
              <w:t>No.</w:t>
            </w:r>
          </w:p>
        </w:tc>
      </w:tr>
      <w:tr w:rsidR="008054C1" w14:paraId="799172E7" w14:textId="77777777" w:rsidTr="00FC1D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09D1B621" w14:textId="41327005" w:rsidR="008054C1" w:rsidRDefault="008054C1" w:rsidP="007E2FC8">
            <w:pPr>
              <w:rPr>
                <w:rFonts w:cs="Times New Roman"/>
                <w:szCs w:val="22"/>
              </w:rPr>
            </w:pPr>
            <w:r>
              <w:rPr>
                <w:rFonts w:cs="Times New Roman" w:hint="eastAsia"/>
                <w:szCs w:val="22"/>
              </w:rPr>
              <w:t>Access Trigger</w:t>
            </w:r>
          </w:p>
        </w:tc>
        <w:tc>
          <w:tcPr>
            <w:tcW w:w="2268" w:type="dxa"/>
          </w:tcPr>
          <w:p w14:paraId="4D44C9E8" w14:textId="139C4133" w:rsidR="008054C1" w:rsidRDefault="008054C1" w:rsidP="007E2FC8">
            <w:pPr>
              <w:cnfStyle w:val="000000100000" w:firstRow="0" w:lastRow="0" w:firstColumn="0" w:lastColumn="0" w:oddVBand="0" w:evenVBand="0" w:oddHBand="1" w:evenHBand="0" w:firstRowFirstColumn="0" w:firstRowLastColumn="0" w:lastRowFirstColumn="0" w:lastRowLastColumn="0"/>
              <w:rPr>
                <w:rFonts w:cs="Times New Roman"/>
                <w:szCs w:val="22"/>
              </w:rPr>
            </w:pPr>
            <w:r>
              <w:rPr>
                <w:rFonts w:cs="Times New Roman" w:hint="eastAsia"/>
                <w:szCs w:val="22"/>
              </w:rPr>
              <w:t>R2D Message Type</w:t>
            </w:r>
          </w:p>
        </w:tc>
        <w:tc>
          <w:tcPr>
            <w:tcW w:w="5103" w:type="dxa"/>
          </w:tcPr>
          <w:p w14:paraId="6302B2C7" w14:textId="33B54392" w:rsidR="008054C1" w:rsidRDefault="008054C1" w:rsidP="007E2FC8">
            <w:pPr>
              <w:cnfStyle w:val="000000100000" w:firstRow="0" w:lastRow="0" w:firstColumn="0" w:lastColumn="0" w:oddVBand="0" w:evenVBand="0" w:oddHBand="1" w:evenHBand="0" w:firstRowFirstColumn="0" w:firstRowLastColumn="0" w:lastRowFirstColumn="0" w:lastRowLastColumn="0"/>
              <w:rPr>
                <w:rFonts w:cs="Times New Roman"/>
                <w:szCs w:val="22"/>
              </w:rPr>
            </w:pPr>
            <w:r>
              <w:rPr>
                <w:rFonts w:cs="Times New Roman" w:hint="eastAsia"/>
                <w:szCs w:val="22"/>
              </w:rPr>
              <w:t>No.</w:t>
            </w:r>
          </w:p>
        </w:tc>
      </w:tr>
      <w:tr w:rsidR="00935028" w14:paraId="714866B3" w14:textId="77777777" w:rsidTr="00FC1DBA">
        <w:tc>
          <w:tcPr>
            <w:cnfStyle w:val="001000000000" w:firstRow="0" w:lastRow="0" w:firstColumn="1" w:lastColumn="0" w:oddVBand="0" w:evenVBand="0" w:oddHBand="0" w:evenHBand="0" w:firstRowFirstColumn="0" w:firstRowLastColumn="0" w:lastRowFirstColumn="0" w:lastRowLastColumn="0"/>
            <w:tcW w:w="2122" w:type="dxa"/>
            <w:vMerge w:val="restart"/>
          </w:tcPr>
          <w:p w14:paraId="6C851DBB" w14:textId="00096B61" w:rsidR="00935028" w:rsidRDefault="00935028" w:rsidP="008054C1">
            <w:pPr>
              <w:rPr>
                <w:rFonts w:cs="Times New Roman"/>
                <w:szCs w:val="22"/>
              </w:rPr>
            </w:pPr>
            <w:r>
              <w:rPr>
                <w:rFonts w:cs="Times New Roman" w:hint="eastAsia"/>
                <w:szCs w:val="22"/>
              </w:rPr>
              <w:t>Random ID Response</w:t>
            </w:r>
            <w:r w:rsidR="007810E7">
              <w:rPr>
                <w:rFonts w:cs="Times New Roman" w:hint="eastAsia"/>
                <w:szCs w:val="22"/>
              </w:rPr>
              <w:t xml:space="preserve"> (Msg2 in CBRA)</w:t>
            </w:r>
          </w:p>
        </w:tc>
        <w:tc>
          <w:tcPr>
            <w:tcW w:w="2268" w:type="dxa"/>
          </w:tcPr>
          <w:p w14:paraId="49D287DE" w14:textId="7C5669BD" w:rsidR="00935028" w:rsidRDefault="00935028" w:rsidP="008054C1">
            <w:pPr>
              <w:cnfStyle w:val="000000000000" w:firstRow="0" w:lastRow="0" w:firstColumn="0" w:lastColumn="0" w:oddVBand="0" w:evenVBand="0" w:oddHBand="0" w:evenHBand="0" w:firstRowFirstColumn="0" w:firstRowLastColumn="0" w:lastRowFirstColumn="0" w:lastRowLastColumn="0"/>
              <w:rPr>
                <w:rFonts w:cs="Times New Roman"/>
                <w:szCs w:val="22"/>
              </w:rPr>
            </w:pPr>
            <w:r>
              <w:rPr>
                <w:rFonts w:cs="Times New Roman" w:hint="eastAsia"/>
                <w:szCs w:val="22"/>
              </w:rPr>
              <w:t>R2D Message Type</w:t>
            </w:r>
          </w:p>
        </w:tc>
        <w:tc>
          <w:tcPr>
            <w:tcW w:w="5103" w:type="dxa"/>
          </w:tcPr>
          <w:p w14:paraId="2CB33015" w14:textId="1A236DC0" w:rsidR="00935028" w:rsidRDefault="00935028" w:rsidP="008054C1">
            <w:pPr>
              <w:cnfStyle w:val="000000000000" w:firstRow="0" w:lastRow="0" w:firstColumn="0" w:lastColumn="0" w:oddVBand="0" w:evenVBand="0" w:oddHBand="0" w:evenHBand="0" w:firstRowFirstColumn="0" w:firstRowLastColumn="0" w:lastRowFirstColumn="0" w:lastRowLastColumn="0"/>
              <w:rPr>
                <w:rFonts w:cs="Times New Roman"/>
                <w:szCs w:val="22"/>
              </w:rPr>
            </w:pPr>
            <w:r>
              <w:rPr>
                <w:rFonts w:cs="Times New Roman" w:hint="eastAsia"/>
                <w:szCs w:val="22"/>
              </w:rPr>
              <w:t>No.</w:t>
            </w:r>
          </w:p>
        </w:tc>
      </w:tr>
      <w:tr w:rsidR="00935028" w14:paraId="0F05BF31" w14:textId="77777777" w:rsidTr="00FC1D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vMerge/>
          </w:tcPr>
          <w:p w14:paraId="411FF989" w14:textId="77777777" w:rsidR="00935028" w:rsidRDefault="00935028" w:rsidP="008054C1">
            <w:pPr>
              <w:rPr>
                <w:rFonts w:cs="Times New Roman"/>
                <w:szCs w:val="22"/>
              </w:rPr>
            </w:pPr>
          </w:p>
        </w:tc>
        <w:tc>
          <w:tcPr>
            <w:tcW w:w="2268" w:type="dxa"/>
          </w:tcPr>
          <w:p w14:paraId="02B4D3FD" w14:textId="5C361C6A" w:rsidR="00935028" w:rsidRDefault="00935028" w:rsidP="008054C1">
            <w:pPr>
              <w:cnfStyle w:val="000000100000" w:firstRow="0" w:lastRow="0" w:firstColumn="0" w:lastColumn="0" w:oddVBand="0" w:evenVBand="0" w:oddHBand="1" w:evenHBand="0" w:firstRowFirstColumn="0" w:firstRowLastColumn="0" w:lastRowFirstColumn="0" w:lastRowLastColumn="0"/>
              <w:rPr>
                <w:rFonts w:cs="Times New Roman"/>
                <w:szCs w:val="22"/>
              </w:rPr>
            </w:pPr>
            <w:r>
              <w:rPr>
                <w:rFonts w:cs="Times New Roman" w:hint="eastAsia"/>
                <w:szCs w:val="22"/>
              </w:rPr>
              <w:t>R2D TBS</w:t>
            </w:r>
          </w:p>
        </w:tc>
        <w:tc>
          <w:tcPr>
            <w:tcW w:w="5103" w:type="dxa"/>
          </w:tcPr>
          <w:p w14:paraId="6E3554DE" w14:textId="22ECFB28" w:rsidR="00935028" w:rsidRDefault="00935028" w:rsidP="008054C1">
            <w:pPr>
              <w:cnfStyle w:val="000000100000" w:firstRow="0" w:lastRow="0" w:firstColumn="0" w:lastColumn="0" w:oddVBand="0" w:evenVBand="0" w:oddHBand="1" w:evenHBand="0" w:firstRowFirstColumn="0" w:firstRowLastColumn="0" w:lastRowFirstColumn="0" w:lastRowLastColumn="0"/>
              <w:rPr>
                <w:rFonts w:cs="Times New Roman"/>
                <w:szCs w:val="22"/>
              </w:rPr>
            </w:pPr>
            <w:r>
              <w:rPr>
                <w:rFonts w:cs="Times New Roman" w:hint="eastAsia"/>
                <w:szCs w:val="22"/>
              </w:rPr>
              <w:t>No.</w:t>
            </w:r>
          </w:p>
        </w:tc>
      </w:tr>
      <w:tr w:rsidR="00BE58B6" w14:paraId="6908B3DF" w14:textId="77777777" w:rsidTr="00FC1DBA">
        <w:tc>
          <w:tcPr>
            <w:cnfStyle w:val="001000000000" w:firstRow="0" w:lastRow="0" w:firstColumn="1" w:lastColumn="0" w:oddVBand="0" w:evenVBand="0" w:oddHBand="0" w:evenHBand="0" w:firstRowFirstColumn="0" w:firstRowLastColumn="0" w:lastRowFirstColumn="0" w:lastRowLastColumn="0"/>
            <w:tcW w:w="2122" w:type="dxa"/>
            <w:vMerge/>
          </w:tcPr>
          <w:p w14:paraId="50E0F69A" w14:textId="77777777" w:rsidR="00BE58B6" w:rsidRDefault="00BE58B6" w:rsidP="00BE58B6">
            <w:pPr>
              <w:rPr>
                <w:rFonts w:cs="Times New Roman"/>
                <w:szCs w:val="22"/>
              </w:rPr>
            </w:pPr>
          </w:p>
        </w:tc>
        <w:tc>
          <w:tcPr>
            <w:tcW w:w="2268" w:type="dxa"/>
          </w:tcPr>
          <w:p w14:paraId="6161457D" w14:textId="3652E7E8" w:rsidR="00BE58B6" w:rsidRDefault="00BE58B6" w:rsidP="00BE58B6">
            <w:pPr>
              <w:cnfStyle w:val="000000000000" w:firstRow="0" w:lastRow="0" w:firstColumn="0" w:lastColumn="0" w:oddVBand="0" w:evenVBand="0" w:oddHBand="0" w:evenHBand="0" w:firstRowFirstColumn="0" w:firstRowLastColumn="0" w:lastRowFirstColumn="0" w:lastRowLastColumn="0"/>
              <w:rPr>
                <w:rFonts w:cs="Times New Roman"/>
                <w:szCs w:val="22"/>
              </w:rPr>
            </w:pPr>
            <w:r>
              <w:rPr>
                <w:rFonts w:cs="Times New Roman" w:hint="eastAsia"/>
                <w:szCs w:val="22"/>
              </w:rPr>
              <w:t>D2R Scheduling Info</w:t>
            </w:r>
          </w:p>
        </w:tc>
        <w:tc>
          <w:tcPr>
            <w:tcW w:w="5103" w:type="dxa"/>
          </w:tcPr>
          <w:p w14:paraId="6BB3BA8D" w14:textId="1D3F36E8" w:rsidR="00BE58B6" w:rsidRDefault="00BE58B6" w:rsidP="00BE58B6">
            <w:pPr>
              <w:cnfStyle w:val="000000000000" w:firstRow="0" w:lastRow="0" w:firstColumn="0" w:lastColumn="0" w:oddVBand="0" w:evenVBand="0" w:oddHBand="0" w:evenHBand="0" w:firstRowFirstColumn="0" w:firstRowLastColumn="0" w:lastRowFirstColumn="0" w:lastRowLastColumn="0"/>
              <w:rPr>
                <w:rFonts w:cs="Times New Roman"/>
                <w:szCs w:val="22"/>
              </w:rPr>
            </w:pPr>
            <w:r>
              <w:rPr>
                <w:rFonts w:cs="Times New Roman" w:hint="eastAsia"/>
                <w:szCs w:val="22"/>
              </w:rPr>
              <w:t>The gNB needs to allocate radio resources for D2R scheduling by the UE reader.</w:t>
            </w:r>
          </w:p>
        </w:tc>
      </w:tr>
      <w:tr w:rsidR="00BE58B6" w14:paraId="0FF8560B" w14:textId="77777777" w:rsidTr="00FC1D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vMerge/>
          </w:tcPr>
          <w:p w14:paraId="67D1021A" w14:textId="77777777" w:rsidR="00BE58B6" w:rsidRDefault="00BE58B6" w:rsidP="00BE58B6">
            <w:pPr>
              <w:rPr>
                <w:rFonts w:cs="Times New Roman"/>
                <w:szCs w:val="22"/>
              </w:rPr>
            </w:pPr>
          </w:p>
        </w:tc>
        <w:tc>
          <w:tcPr>
            <w:tcW w:w="2268" w:type="dxa"/>
          </w:tcPr>
          <w:p w14:paraId="584A85B9" w14:textId="62BB2054" w:rsidR="00BE58B6" w:rsidRDefault="00BE58B6" w:rsidP="00BE58B6">
            <w:pPr>
              <w:cnfStyle w:val="000000100000" w:firstRow="0" w:lastRow="0" w:firstColumn="0" w:lastColumn="0" w:oddVBand="0" w:evenVBand="0" w:oddHBand="1" w:evenHBand="0" w:firstRowFirstColumn="0" w:firstRowLastColumn="0" w:lastRowFirstColumn="0" w:lastRowLastColumn="0"/>
              <w:rPr>
                <w:rFonts w:cs="Times New Roman"/>
                <w:szCs w:val="22"/>
              </w:rPr>
            </w:pPr>
            <w:r>
              <w:rPr>
                <w:rFonts w:cs="Times New Roman" w:hint="eastAsia"/>
                <w:szCs w:val="22"/>
              </w:rPr>
              <w:t>Frequency Index</w:t>
            </w:r>
          </w:p>
        </w:tc>
        <w:tc>
          <w:tcPr>
            <w:tcW w:w="5103" w:type="dxa"/>
          </w:tcPr>
          <w:p w14:paraId="3DF8E1B9" w14:textId="50BC6140" w:rsidR="00BE58B6" w:rsidRDefault="00BE58B6" w:rsidP="00BE58B6">
            <w:pPr>
              <w:cnfStyle w:val="000000100000" w:firstRow="0" w:lastRow="0" w:firstColumn="0" w:lastColumn="0" w:oddVBand="0" w:evenVBand="0" w:oddHBand="1" w:evenHBand="0" w:firstRowFirstColumn="0" w:firstRowLastColumn="0" w:lastRowFirstColumn="0" w:lastRowLastColumn="0"/>
              <w:rPr>
                <w:rFonts w:cs="Times New Roman"/>
                <w:szCs w:val="22"/>
              </w:rPr>
            </w:pPr>
            <w:r>
              <w:rPr>
                <w:rFonts w:cs="Times New Roman" w:hint="eastAsia"/>
                <w:szCs w:val="22"/>
              </w:rPr>
              <w:t>No.</w:t>
            </w:r>
          </w:p>
        </w:tc>
      </w:tr>
      <w:tr w:rsidR="00BE58B6" w14:paraId="30E87C3D" w14:textId="77777777" w:rsidTr="00FC1DBA">
        <w:tc>
          <w:tcPr>
            <w:cnfStyle w:val="001000000000" w:firstRow="0" w:lastRow="0" w:firstColumn="1" w:lastColumn="0" w:oddVBand="0" w:evenVBand="0" w:oddHBand="0" w:evenHBand="0" w:firstRowFirstColumn="0" w:firstRowLastColumn="0" w:lastRowFirstColumn="0" w:lastRowLastColumn="0"/>
            <w:tcW w:w="2122" w:type="dxa"/>
            <w:vMerge/>
          </w:tcPr>
          <w:p w14:paraId="4C05CA04" w14:textId="77777777" w:rsidR="00BE58B6" w:rsidRDefault="00BE58B6" w:rsidP="00BE58B6">
            <w:pPr>
              <w:rPr>
                <w:rFonts w:cs="Times New Roman"/>
                <w:szCs w:val="22"/>
              </w:rPr>
            </w:pPr>
          </w:p>
        </w:tc>
        <w:tc>
          <w:tcPr>
            <w:tcW w:w="2268" w:type="dxa"/>
          </w:tcPr>
          <w:p w14:paraId="1523C8A2" w14:textId="2134B818" w:rsidR="00BE58B6" w:rsidRDefault="00BE58B6" w:rsidP="00BE58B6">
            <w:pPr>
              <w:cnfStyle w:val="000000000000" w:firstRow="0" w:lastRow="0" w:firstColumn="0" w:lastColumn="0" w:oddVBand="0" w:evenVBand="0" w:oddHBand="0" w:evenHBand="0" w:firstRowFirstColumn="0" w:firstRowLastColumn="0" w:lastRowFirstColumn="0" w:lastRowLastColumn="0"/>
              <w:rPr>
                <w:rFonts w:cs="Times New Roman"/>
                <w:szCs w:val="22"/>
              </w:rPr>
            </w:pPr>
            <w:r>
              <w:rPr>
                <w:rFonts w:cs="Times New Roman" w:hint="eastAsia"/>
                <w:szCs w:val="22"/>
              </w:rPr>
              <w:t>Echoed Random ID</w:t>
            </w:r>
          </w:p>
        </w:tc>
        <w:tc>
          <w:tcPr>
            <w:tcW w:w="5103" w:type="dxa"/>
          </w:tcPr>
          <w:p w14:paraId="18D4A5C7" w14:textId="68C5C1A9" w:rsidR="00BE58B6" w:rsidRDefault="00BE58B6" w:rsidP="00BE58B6">
            <w:pPr>
              <w:cnfStyle w:val="000000000000" w:firstRow="0" w:lastRow="0" w:firstColumn="0" w:lastColumn="0" w:oddVBand="0" w:evenVBand="0" w:oddHBand="0" w:evenHBand="0" w:firstRowFirstColumn="0" w:firstRowLastColumn="0" w:lastRowFirstColumn="0" w:lastRowLastColumn="0"/>
              <w:rPr>
                <w:rFonts w:cs="Times New Roman"/>
                <w:szCs w:val="22"/>
              </w:rPr>
            </w:pPr>
            <w:r>
              <w:rPr>
                <w:rFonts w:cs="Times New Roman" w:hint="eastAsia"/>
                <w:szCs w:val="22"/>
              </w:rPr>
              <w:t>No.</w:t>
            </w:r>
          </w:p>
        </w:tc>
      </w:tr>
      <w:tr w:rsidR="00BE58B6" w14:paraId="70A105F3" w14:textId="77777777" w:rsidTr="00FC1D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vMerge/>
          </w:tcPr>
          <w:p w14:paraId="2CE3F278" w14:textId="77777777" w:rsidR="00BE58B6" w:rsidRDefault="00BE58B6" w:rsidP="00BE58B6">
            <w:pPr>
              <w:rPr>
                <w:rFonts w:cs="Times New Roman"/>
                <w:szCs w:val="22"/>
              </w:rPr>
            </w:pPr>
          </w:p>
        </w:tc>
        <w:tc>
          <w:tcPr>
            <w:tcW w:w="2268" w:type="dxa"/>
          </w:tcPr>
          <w:p w14:paraId="3FD9A98E" w14:textId="162CFFBD" w:rsidR="00BE58B6" w:rsidRDefault="00BB03A7" w:rsidP="00BE58B6">
            <w:pPr>
              <w:cnfStyle w:val="000000100000" w:firstRow="0" w:lastRow="0" w:firstColumn="0" w:lastColumn="0" w:oddVBand="0" w:evenVBand="0" w:oddHBand="1" w:evenHBand="0" w:firstRowFirstColumn="0" w:firstRowLastColumn="0" w:lastRowFirstColumn="0" w:lastRowLastColumn="0"/>
              <w:rPr>
                <w:rFonts w:cs="Times New Roman"/>
                <w:szCs w:val="22"/>
              </w:rPr>
            </w:pPr>
            <w:r>
              <w:rPr>
                <w:rFonts w:cs="Times New Roman"/>
                <w:szCs w:val="22"/>
              </w:rPr>
              <w:t>Assigned</w:t>
            </w:r>
            <w:r w:rsidR="00BE58B6">
              <w:rPr>
                <w:rFonts w:cs="Times New Roman" w:hint="eastAsia"/>
                <w:szCs w:val="22"/>
              </w:rPr>
              <w:t xml:space="preserve"> AS ID</w:t>
            </w:r>
          </w:p>
        </w:tc>
        <w:tc>
          <w:tcPr>
            <w:tcW w:w="5103" w:type="dxa"/>
          </w:tcPr>
          <w:p w14:paraId="1C4A7CC3" w14:textId="284C2273" w:rsidR="00BE58B6" w:rsidRDefault="00BE58B6" w:rsidP="00BE58B6">
            <w:pPr>
              <w:cnfStyle w:val="000000100000" w:firstRow="0" w:lastRow="0" w:firstColumn="0" w:lastColumn="0" w:oddVBand="0" w:evenVBand="0" w:oddHBand="1" w:evenHBand="0" w:firstRowFirstColumn="0" w:firstRowLastColumn="0" w:lastRowFirstColumn="0" w:lastRowLastColumn="0"/>
              <w:rPr>
                <w:rFonts w:cs="Times New Roman"/>
                <w:szCs w:val="22"/>
              </w:rPr>
            </w:pPr>
            <w:r>
              <w:rPr>
                <w:rFonts w:cs="Times New Roman" w:hint="eastAsia"/>
                <w:szCs w:val="22"/>
              </w:rPr>
              <w:t>No.</w:t>
            </w:r>
          </w:p>
        </w:tc>
      </w:tr>
      <w:tr w:rsidR="00BE58B6" w14:paraId="191ECF77" w14:textId="77777777" w:rsidTr="00FC1DBA">
        <w:tc>
          <w:tcPr>
            <w:cnfStyle w:val="001000000000" w:firstRow="0" w:lastRow="0" w:firstColumn="1" w:lastColumn="0" w:oddVBand="0" w:evenVBand="0" w:oddHBand="0" w:evenHBand="0" w:firstRowFirstColumn="0" w:firstRowLastColumn="0" w:lastRowFirstColumn="0" w:lastRowLastColumn="0"/>
            <w:tcW w:w="2122" w:type="dxa"/>
            <w:vMerge w:val="restart"/>
          </w:tcPr>
          <w:p w14:paraId="5E5944F5" w14:textId="07A3BBCB" w:rsidR="00BE58B6" w:rsidRDefault="00BE58B6" w:rsidP="00BE58B6">
            <w:pPr>
              <w:rPr>
                <w:rFonts w:cs="Times New Roman"/>
                <w:szCs w:val="22"/>
              </w:rPr>
            </w:pPr>
            <w:r>
              <w:rPr>
                <w:rFonts w:cs="Times New Roman" w:hint="eastAsia"/>
                <w:szCs w:val="22"/>
              </w:rPr>
              <w:t>R2D Upper Layer Data Transfer</w:t>
            </w:r>
          </w:p>
        </w:tc>
        <w:tc>
          <w:tcPr>
            <w:tcW w:w="2268" w:type="dxa"/>
          </w:tcPr>
          <w:p w14:paraId="21B76118" w14:textId="39841B74" w:rsidR="00BE58B6" w:rsidRPr="00935028" w:rsidRDefault="00BE58B6" w:rsidP="00BE58B6">
            <w:pPr>
              <w:cnfStyle w:val="000000000000" w:firstRow="0" w:lastRow="0" w:firstColumn="0" w:lastColumn="0" w:oddVBand="0" w:evenVBand="0" w:oddHBand="0" w:evenHBand="0" w:firstRowFirstColumn="0" w:firstRowLastColumn="0" w:lastRowFirstColumn="0" w:lastRowLastColumn="0"/>
              <w:rPr>
                <w:rFonts w:cs="Times New Roman"/>
                <w:szCs w:val="22"/>
              </w:rPr>
            </w:pPr>
            <w:r>
              <w:rPr>
                <w:rFonts w:cs="Times New Roman" w:hint="eastAsia"/>
                <w:szCs w:val="22"/>
              </w:rPr>
              <w:t>R2D Message Type</w:t>
            </w:r>
          </w:p>
        </w:tc>
        <w:tc>
          <w:tcPr>
            <w:tcW w:w="5103" w:type="dxa"/>
          </w:tcPr>
          <w:p w14:paraId="13149EDA" w14:textId="1C1E0CA1" w:rsidR="00BE58B6" w:rsidRDefault="00BE58B6" w:rsidP="00BE58B6">
            <w:pPr>
              <w:cnfStyle w:val="000000000000" w:firstRow="0" w:lastRow="0" w:firstColumn="0" w:lastColumn="0" w:oddVBand="0" w:evenVBand="0" w:oddHBand="0" w:evenHBand="0" w:firstRowFirstColumn="0" w:firstRowLastColumn="0" w:lastRowFirstColumn="0" w:lastRowLastColumn="0"/>
              <w:rPr>
                <w:rFonts w:cs="Times New Roman"/>
                <w:szCs w:val="22"/>
              </w:rPr>
            </w:pPr>
            <w:r>
              <w:rPr>
                <w:rFonts w:cs="Times New Roman" w:hint="eastAsia"/>
                <w:szCs w:val="22"/>
              </w:rPr>
              <w:t>No.</w:t>
            </w:r>
          </w:p>
        </w:tc>
      </w:tr>
      <w:tr w:rsidR="00BE58B6" w14:paraId="7144DF66" w14:textId="77777777" w:rsidTr="00FC1D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vMerge/>
          </w:tcPr>
          <w:p w14:paraId="03144D6E" w14:textId="77777777" w:rsidR="00BE58B6" w:rsidRDefault="00BE58B6" w:rsidP="00BE58B6">
            <w:pPr>
              <w:rPr>
                <w:rFonts w:cs="Times New Roman"/>
                <w:szCs w:val="22"/>
              </w:rPr>
            </w:pPr>
          </w:p>
        </w:tc>
        <w:tc>
          <w:tcPr>
            <w:tcW w:w="2268" w:type="dxa"/>
          </w:tcPr>
          <w:p w14:paraId="3CEB37CC" w14:textId="47D74E03" w:rsidR="00BE58B6" w:rsidRPr="00935028" w:rsidRDefault="00BE58B6" w:rsidP="00BE58B6">
            <w:pPr>
              <w:cnfStyle w:val="000000100000" w:firstRow="0" w:lastRow="0" w:firstColumn="0" w:lastColumn="0" w:oddVBand="0" w:evenVBand="0" w:oddHBand="1" w:evenHBand="0" w:firstRowFirstColumn="0" w:firstRowLastColumn="0" w:lastRowFirstColumn="0" w:lastRowLastColumn="0"/>
              <w:rPr>
                <w:rFonts w:cs="Times New Roman"/>
                <w:szCs w:val="22"/>
              </w:rPr>
            </w:pPr>
            <w:r>
              <w:rPr>
                <w:rFonts w:cs="Times New Roman" w:hint="eastAsia"/>
                <w:szCs w:val="22"/>
              </w:rPr>
              <w:t>R2D TBS</w:t>
            </w:r>
          </w:p>
        </w:tc>
        <w:tc>
          <w:tcPr>
            <w:tcW w:w="5103" w:type="dxa"/>
          </w:tcPr>
          <w:p w14:paraId="26C867DA" w14:textId="29D8948B" w:rsidR="00BE58B6" w:rsidRDefault="00BE58B6" w:rsidP="00BE58B6">
            <w:pPr>
              <w:cnfStyle w:val="000000100000" w:firstRow="0" w:lastRow="0" w:firstColumn="0" w:lastColumn="0" w:oddVBand="0" w:evenVBand="0" w:oddHBand="1" w:evenHBand="0" w:firstRowFirstColumn="0" w:firstRowLastColumn="0" w:lastRowFirstColumn="0" w:lastRowLastColumn="0"/>
              <w:rPr>
                <w:rFonts w:cs="Times New Roman"/>
                <w:szCs w:val="22"/>
              </w:rPr>
            </w:pPr>
            <w:r>
              <w:rPr>
                <w:rFonts w:cs="Times New Roman" w:hint="eastAsia"/>
                <w:szCs w:val="22"/>
              </w:rPr>
              <w:t>No.</w:t>
            </w:r>
          </w:p>
        </w:tc>
      </w:tr>
      <w:tr w:rsidR="00BE58B6" w14:paraId="4F366787" w14:textId="77777777" w:rsidTr="00FC1DBA">
        <w:tc>
          <w:tcPr>
            <w:cnfStyle w:val="001000000000" w:firstRow="0" w:lastRow="0" w:firstColumn="1" w:lastColumn="0" w:oddVBand="0" w:evenVBand="0" w:oddHBand="0" w:evenHBand="0" w:firstRowFirstColumn="0" w:firstRowLastColumn="0" w:lastRowFirstColumn="0" w:lastRowLastColumn="0"/>
            <w:tcW w:w="2122" w:type="dxa"/>
            <w:vMerge/>
          </w:tcPr>
          <w:p w14:paraId="745800FF" w14:textId="77777777" w:rsidR="00BE58B6" w:rsidRDefault="00BE58B6" w:rsidP="00BE58B6">
            <w:pPr>
              <w:rPr>
                <w:rFonts w:cs="Times New Roman"/>
                <w:szCs w:val="22"/>
              </w:rPr>
            </w:pPr>
          </w:p>
        </w:tc>
        <w:tc>
          <w:tcPr>
            <w:tcW w:w="2268" w:type="dxa"/>
          </w:tcPr>
          <w:p w14:paraId="6F2B2DFF" w14:textId="3CAB4B88" w:rsidR="00BE58B6" w:rsidRPr="00935028" w:rsidRDefault="00BE58B6" w:rsidP="00BE58B6">
            <w:pPr>
              <w:cnfStyle w:val="000000000000" w:firstRow="0" w:lastRow="0" w:firstColumn="0" w:lastColumn="0" w:oddVBand="0" w:evenVBand="0" w:oddHBand="0" w:evenHBand="0" w:firstRowFirstColumn="0" w:firstRowLastColumn="0" w:lastRowFirstColumn="0" w:lastRowLastColumn="0"/>
              <w:rPr>
                <w:rFonts w:cs="Times New Roman"/>
                <w:szCs w:val="22"/>
              </w:rPr>
            </w:pPr>
            <w:r>
              <w:rPr>
                <w:rFonts w:cs="Times New Roman" w:hint="eastAsia"/>
                <w:szCs w:val="22"/>
              </w:rPr>
              <w:t>AS ID</w:t>
            </w:r>
          </w:p>
        </w:tc>
        <w:tc>
          <w:tcPr>
            <w:tcW w:w="5103" w:type="dxa"/>
          </w:tcPr>
          <w:p w14:paraId="6690771C" w14:textId="2AA19823" w:rsidR="00BE58B6" w:rsidRDefault="00BE58B6" w:rsidP="00BE58B6">
            <w:pPr>
              <w:cnfStyle w:val="000000000000" w:firstRow="0" w:lastRow="0" w:firstColumn="0" w:lastColumn="0" w:oddVBand="0" w:evenVBand="0" w:oddHBand="0" w:evenHBand="0" w:firstRowFirstColumn="0" w:firstRowLastColumn="0" w:lastRowFirstColumn="0" w:lastRowLastColumn="0"/>
              <w:rPr>
                <w:rFonts w:cs="Times New Roman"/>
                <w:szCs w:val="22"/>
              </w:rPr>
            </w:pPr>
            <w:r>
              <w:rPr>
                <w:rFonts w:cs="Times New Roman" w:hint="eastAsia"/>
                <w:szCs w:val="22"/>
              </w:rPr>
              <w:t>No.</w:t>
            </w:r>
          </w:p>
        </w:tc>
      </w:tr>
      <w:tr w:rsidR="00BE58B6" w14:paraId="5D01EDA5" w14:textId="77777777" w:rsidTr="00FC1D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vMerge/>
          </w:tcPr>
          <w:p w14:paraId="08C67B2A" w14:textId="77777777" w:rsidR="00BE58B6" w:rsidRDefault="00BE58B6" w:rsidP="00BE58B6">
            <w:pPr>
              <w:rPr>
                <w:rFonts w:cs="Times New Roman"/>
                <w:szCs w:val="22"/>
              </w:rPr>
            </w:pPr>
          </w:p>
        </w:tc>
        <w:tc>
          <w:tcPr>
            <w:tcW w:w="2268" w:type="dxa"/>
          </w:tcPr>
          <w:p w14:paraId="416FBE11" w14:textId="1E3128E6" w:rsidR="00BE58B6" w:rsidRPr="00935028" w:rsidRDefault="00BE58B6" w:rsidP="00BE58B6">
            <w:pPr>
              <w:cnfStyle w:val="000000100000" w:firstRow="0" w:lastRow="0" w:firstColumn="0" w:lastColumn="0" w:oddVBand="0" w:evenVBand="0" w:oddHBand="1" w:evenHBand="0" w:firstRowFirstColumn="0" w:firstRowLastColumn="0" w:lastRowFirstColumn="0" w:lastRowLastColumn="0"/>
              <w:rPr>
                <w:rFonts w:cs="Times New Roman"/>
                <w:szCs w:val="22"/>
              </w:rPr>
            </w:pPr>
            <w:r>
              <w:rPr>
                <w:rFonts w:cs="Times New Roman" w:hint="eastAsia"/>
                <w:szCs w:val="22"/>
              </w:rPr>
              <w:t>D2R Scheduling Info</w:t>
            </w:r>
          </w:p>
        </w:tc>
        <w:tc>
          <w:tcPr>
            <w:tcW w:w="5103" w:type="dxa"/>
          </w:tcPr>
          <w:p w14:paraId="76DB7AC6" w14:textId="3D0EF619" w:rsidR="00BE58B6" w:rsidRDefault="00BE58B6" w:rsidP="00BE58B6">
            <w:pPr>
              <w:cnfStyle w:val="000000100000" w:firstRow="0" w:lastRow="0" w:firstColumn="0" w:lastColumn="0" w:oddVBand="0" w:evenVBand="0" w:oddHBand="1" w:evenHBand="0" w:firstRowFirstColumn="0" w:firstRowLastColumn="0" w:lastRowFirstColumn="0" w:lastRowLastColumn="0"/>
              <w:rPr>
                <w:rFonts w:cs="Times New Roman"/>
                <w:szCs w:val="22"/>
              </w:rPr>
            </w:pPr>
            <w:r>
              <w:rPr>
                <w:rFonts w:cs="Times New Roman" w:hint="eastAsia"/>
                <w:szCs w:val="22"/>
              </w:rPr>
              <w:t>The gNB needs to allocate radio resources for D2R scheduling by the UE reader.</w:t>
            </w:r>
          </w:p>
        </w:tc>
      </w:tr>
      <w:tr w:rsidR="00BE58B6" w14:paraId="1522A945" w14:textId="77777777" w:rsidTr="00FC1DBA">
        <w:tc>
          <w:tcPr>
            <w:cnfStyle w:val="001000000000" w:firstRow="0" w:lastRow="0" w:firstColumn="1" w:lastColumn="0" w:oddVBand="0" w:evenVBand="0" w:oddHBand="0" w:evenHBand="0" w:firstRowFirstColumn="0" w:firstRowLastColumn="0" w:lastRowFirstColumn="0" w:lastRowLastColumn="0"/>
            <w:tcW w:w="2122" w:type="dxa"/>
            <w:vMerge/>
          </w:tcPr>
          <w:p w14:paraId="3287B17B" w14:textId="77777777" w:rsidR="00BE58B6" w:rsidRDefault="00BE58B6" w:rsidP="00BE58B6">
            <w:pPr>
              <w:rPr>
                <w:rFonts w:cs="Times New Roman"/>
                <w:szCs w:val="22"/>
              </w:rPr>
            </w:pPr>
          </w:p>
        </w:tc>
        <w:tc>
          <w:tcPr>
            <w:tcW w:w="2268" w:type="dxa"/>
          </w:tcPr>
          <w:p w14:paraId="1AB08A70" w14:textId="2D2476EC" w:rsidR="00BE58B6" w:rsidRPr="00935028" w:rsidRDefault="00BE58B6" w:rsidP="00BE58B6">
            <w:pPr>
              <w:cnfStyle w:val="000000000000" w:firstRow="0" w:lastRow="0" w:firstColumn="0" w:lastColumn="0" w:oddVBand="0" w:evenVBand="0" w:oddHBand="0" w:evenHBand="0" w:firstRowFirstColumn="0" w:firstRowLastColumn="0" w:lastRowFirstColumn="0" w:lastRowLastColumn="0"/>
              <w:rPr>
                <w:rFonts w:cs="Times New Roman"/>
                <w:szCs w:val="22"/>
              </w:rPr>
            </w:pPr>
            <w:r>
              <w:rPr>
                <w:rFonts w:cs="Times New Roman" w:hint="eastAsia"/>
                <w:szCs w:val="22"/>
              </w:rPr>
              <w:t>Data SDU</w:t>
            </w:r>
          </w:p>
        </w:tc>
        <w:tc>
          <w:tcPr>
            <w:tcW w:w="5103" w:type="dxa"/>
          </w:tcPr>
          <w:p w14:paraId="01BB9A7F" w14:textId="1C2AA41F" w:rsidR="00BE58B6" w:rsidRDefault="00FC1DBA" w:rsidP="00BE58B6">
            <w:pPr>
              <w:cnfStyle w:val="000000000000" w:firstRow="0" w:lastRow="0" w:firstColumn="0" w:lastColumn="0" w:oddVBand="0" w:evenVBand="0" w:oddHBand="0" w:evenHBand="0" w:firstRowFirstColumn="0" w:firstRowLastColumn="0" w:lastRowFirstColumn="0" w:lastRowLastColumn="0"/>
              <w:rPr>
                <w:rFonts w:cs="Times New Roman"/>
                <w:szCs w:val="22"/>
              </w:rPr>
            </w:pPr>
            <w:r w:rsidRPr="00FC1DBA">
              <w:rPr>
                <w:rFonts w:cs="Times New Roman"/>
                <w:szCs w:val="22"/>
              </w:rPr>
              <w:t>The R2D AIoT NAS message generated by AIOTF needs to be delivered to the reader UE via the gNB.</w:t>
            </w:r>
            <w:r>
              <w:rPr>
                <w:rFonts w:cs="Times New Roman" w:hint="eastAsia"/>
                <w:szCs w:val="22"/>
              </w:rPr>
              <w:t xml:space="preserve"> </w:t>
            </w:r>
          </w:p>
        </w:tc>
      </w:tr>
      <w:tr w:rsidR="00BE58B6" w14:paraId="47461525" w14:textId="77777777" w:rsidTr="00FC1D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vMerge/>
          </w:tcPr>
          <w:p w14:paraId="22EBA180" w14:textId="77777777" w:rsidR="00BE58B6" w:rsidRDefault="00BE58B6" w:rsidP="00BE58B6">
            <w:pPr>
              <w:rPr>
                <w:rFonts w:cs="Times New Roman"/>
                <w:szCs w:val="22"/>
              </w:rPr>
            </w:pPr>
          </w:p>
        </w:tc>
        <w:tc>
          <w:tcPr>
            <w:tcW w:w="2268" w:type="dxa"/>
          </w:tcPr>
          <w:p w14:paraId="449F7A66" w14:textId="53117831" w:rsidR="00BE58B6" w:rsidRDefault="00BE58B6" w:rsidP="00BE58B6">
            <w:pPr>
              <w:cnfStyle w:val="000000100000" w:firstRow="0" w:lastRow="0" w:firstColumn="0" w:lastColumn="0" w:oddVBand="0" w:evenVBand="0" w:oddHBand="1" w:evenHBand="0" w:firstRowFirstColumn="0" w:firstRowLastColumn="0" w:lastRowFirstColumn="0" w:lastRowLastColumn="0"/>
              <w:rPr>
                <w:rFonts w:cs="Times New Roman"/>
                <w:szCs w:val="22"/>
              </w:rPr>
            </w:pPr>
            <w:r>
              <w:rPr>
                <w:rFonts w:cs="Times New Roman" w:hint="eastAsia"/>
                <w:szCs w:val="22"/>
              </w:rPr>
              <w:t>Received Data Size</w:t>
            </w:r>
          </w:p>
        </w:tc>
        <w:tc>
          <w:tcPr>
            <w:tcW w:w="5103" w:type="dxa"/>
          </w:tcPr>
          <w:p w14:paraId="35277F29" w14:textId="79DD254E" w:rsidR="00BE58B6" w:rsidRDefault="00BE58B6" w:rsidP="00BE58B6">
            <w:pPr>
              <w:cnfStyle w:val="000000100000" w:firstRow="0" w:lastRow="0" w:firstColumn="0" w:lastColumn="0" w:oddVBand="0" w:evenVBand="0" w:oddHBand="1" w:evenHBand="0" w:firstRowFirstColumn="0" w:firstRowLastColumn="0" w:lastRowFirstColumn="0" w:lastRowLastColumn="0"/>
              <w:rPr>
                <w:rFonts w:cs="Times New Roman"/>
                <w:szCs w:val="22"/>
              </w:rPr>
            </w:pPr>
            <w:r>
              <w:rPr>
                <w:rFonts w:cs="Times New Roman" w:hint="eastAsia"/>
                <w:szCs w:val="22"/>
              </w:rPr>
              <w:t>No.</w:t>
            </w:r>
          </w:p>
        </w:tc>
      </w:tr>
      <w:tr w:rsidR="007810E7" w14:paraId="4905A7C0" w14:textId="77777777" w:rsidTr="00FC1DBA">
        <w:tc>
          <w:tcPr>
            <w:cnfStyle w:val="001000000000" w:firstRow="0" w:lastRow="0" w:firstColumn="1" w:lastColumn="0" w:oddVBand="0" w:evenVBand="0" w:oddHBand="0" w:evenHBand="0" w:firstRowFirstColumn="0" w:firstRowLastColumn="0" w:lastRowFirstColumn="0" w:lastRowLastColumn="0"/>
            <w:tcW w:w="2122" w:type="dxa"/>
            <w:vMerge w:val="restart"/>
          </w:tcPr>
          <w:p w14:paraId="745A8387" w14:textId="1AAD8EA1" w:rsidR="007810E7" w:rsidRDefault="007810E7" w:rsidP="007810E7">
            <w:pPr>
              <w:rPr>
                <w:rFonts w:cs="Times New Roman"/>
                <w:szCs w:val="22"/>
              </w:rPr>
            </w:pPr>
            <w:r>
              <w:rPr>
                <w:rFonts w:cs="Times New Roman" w:hint="eastAsia"/>
                <w:szCs w:val="22"/>
              </w:rPr>
              <w:t>NACK Feedback</w:t>
            </w:r>
          </w:p>
        </w:tc>
        <w:tc>
          <w:tcPr>
            <w:tcW w:w="2268" w:type="dxa"/>
          </w:tcPr>
          <w:p w14:paraId="4F74CDAD" w14:textId="194BB4AC" w:rsidR="007810E7" w:rsidRDefault="007810E7" w:rsidP="007810E7">
            <w:pPr>
              <w:cnfStyle w:val="000000000000" w:firstRow="0" w:lastRow="0" w:firstColumn="0" w:lastColumn="0" w:oddVBand="0" w:evenVBand="0" w:oddHBand="0" w:evenHBand="0" w:firstRowFirstColumn="0" w:firstRowLastColumn="0" w:lastRowFirstColumn="0" w:lastRowLastColumn="0"/>
              <w:rPr>
                <w:rFonts w:cs="Times New Roman"/>
                <w:szCs w:val="22"/>
              </w:rPr>
            </w:pPr>
            <w:r>
              <w:rPr>
                <w:rFonts w:cs="Times New Roman" w:hint="eastAsia"/>
                <w:szCs w:val="22"/>
              </w:rPr>
              <w:t>R2D Message Type</w:t>
            </w:r>
          </w:p>
        </w:tc>
        <w:tc>
          <w:tcPr>
            <w:tcW w:w="5103" w:type="dxa"/>
          </w:tcPr>
          <w:p w14:paraId="4F033499" w14:textId="085EE84E" w:rsidR="007810E7" w:rsidRDefault="007810E7" w:rsidP="007810E7">
            <w:pPr>
              <w:cnfStyle w:val="000000000000" w:firstRow="0" w:lastRow="0" w:firstColumn="0" w:lastColumn="0" w:oddVBand="0" w:evenVBand="0" w:oddHBand="0" w:evenHBand="0" w:firstRowFirstColumn="0" w:firstRowLastColumn="0" w:lastRowFirstColumn="0" w:lastRowLastColumn="0"/>
              <w:rPr>
                <w:rFonts w:cs="Times New Roman"/>
                <w:szCs w:val="22"/>
              </w:rPr>
            </w:pPr>
            <w:r>
              <w:rPr>
                <w:rFonts w:cs="Times New Roman" w:hint="eastAsia"/>
                <w:szCs w:val="22"/>
              </w:rPr>
              <w:t>No.</w:t>
            </w:r>
          </w:p>
        </w:tc>
      </w:tr>
      <w:tr w:rsidR="007810E7" w14:paraId="3F8C8529" w14:textId="77777777" w:rsidTr="00FC1D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vMerge/>
          </w:tcPr>
          <w:p w14:paraId="1BC2F104" w14:textId="77777777" w:rsidR="007810E7" w:rsidRDefault="007810E7" w:rsidP="007810E7">
            <w:pPr>
              <w:rPr>
                <w:rFonts w:cs="Times New Roman"/>
                <w:szCs w:val="22"/>
              </w:rPr>
            </w:pPr>
          </w:p>
        </w:tc>
        <w:tc>
          <w:tcPr>
            <w:tcW w:w="2268" w:type="dxa"/>
          </w:tcPr>
          <w:p w14:paraId="20A4D429" w14:textId="3C02A631" w:rsidR="007810E7" w:rsidRDefault="007810E7" w:rsidP="007810E7">
            <w:pPr>
              <w:cnfStyle w:val="000000100000" w:firstRow="0" w:lastRow="0" w:firstColumn="0" w:lastColumn="0" w:oddVBand="0" w:evenVBand="0" w:oddHBand="1" w:evenHBand="0" w:firstRowFirstColumn="0" w:firstRowLastColumn="0" w:lastRowFirstColumn="0" w:lastRowLastColumn="0"/>
              <w:rPr>
                <w:rFonts w:cs="Times New Roman"/>
                <w:szCs w:val="22"/>
              </w:rPr>
            </w:pPr>
            <w:r>
              <w:rPr>
                <w:rFonts w:cs="Times New Roman" w:hint="eastAsia"/>
                <w:szCs w:val="22"/>
              </w:rPr>
              <w:t>R2D TBS</w:t>
            </w:r>
          </w:p>
        </w:tc>
        <w:tc>
          <w:tcPr>
            <w:tcW w:w="5103" w:type="dxa"/>
          </w:tcPr>
          <w:p w14:paraId="6E6BFB17" w14:textId="4CAE85EF" w:rsidR="007810E7" w:rsidRDefault="007810E7" w:rsidP="007810E7">
            <w:pPr>
              <w:cnfStyle w:val="000000100000" w:firstRow="0" w:lastRow="0" w:firstColumn="0" w:lastColumn="0" w:oddVBand="0" w:evenVBand="0" w:oddHBand="1" w:evenHBand="0" w:firstRowFirstColumn="0" w:firstRowLastColumn="0" w:lastRowFirstColumn="0" w:lastRowLastColumn="0"/>
              <w:rPr>
                <w:rFonts w:cs="Times New Roman"/>
                <w:szCs w:val="22"/>
              </w:rPr>
            </w:pPr>
            <w:r>
              <w:rPr>
                <w:rFonts w:cs="Times New Roman" w:hint="eastAsia"/>
                <w:szCs w:val="22"/>
              </w:rPr>
              <w:t>No.</w:t>
            </w:r>
          </w:p>
        </w:tc>
      </w:tr>
      <w:tr w:rsidR="007810E7" w14:paraId="049F8D49" w14:textId="77777777" w:rsidTr="00FC1DBA">
        <w:tc>
          <w:tcPr>
            <w:cnfStyle w:val="001000000000" w:firstRow="0" w:lastRow="0" w:firstColumn="1" w:lastColumn="0" w:oddVBand="0" w:evenVBand="0" w:oddHBand="0" w:evenHBand="0" w:firstRowFirstColumn="0" w:firstRowLastColumn="0" w:lastRowFirstColumn="0" w:lastRowLastColumn="0"/>
            <w:tcW w:w="2122" w:type="dxa"/>
            <w:vMerge/>
          </w:tcPr>
          <w:p w14:paraId="2865E499" w14:textId="77777777" w:rsidR="007810E7" w:rsidRDefault="007810E7" w:rsidP="007810E7">
            <w:pPr>
              <w:rPr>
                <w:rFonts w:cs="Times New Roman"/>
                <w:szCs w:val="22"/>
              </w:rPr>
            </w:pPr>
          </w:p>
        </w:tc>
        <w:tc>
          <w:tcPr>
            <w:tcW w:w="2268" w:type="dxa"/>
          </w:tcPr>
          <w:p w14:paraId="67FF7CD9" w14:textId="5E54FD63" w:rsidR="007810E7" w:rsidRDefault="007810E7" w:rsidP="007810E7">
            <w:pPr>
              <w:cnfStyle w:val="000000000000" w:firstRow="0" w:lastRow="0" w:firstColumn="0" w:lastColumn="0" w:oddVBand="0" w:evenVBand="0" w:oddHBand="0" w:evenHBand="0" w:firstRowFirstColumn="0" w:firstRowLastColumn="0" w:lastRowFirstColumn="0" w:lastRowLastColumn="0"/>
              <w:rPr>
                <w:rFonts w:cs="Times New Roman"/>
                <w:szCs w:val="22"/>
              </w:rPr>
            </w:pPr>
            <w:r>
              <w:rPr>
                <w:rFonts w:cs="Times New Roman" w:hint="eastAsia"/>
                <w:szCs w:val="22"/>
              </w:rPr>
              <w:t>AS ID</w:t>
            </w:r>
          </w:p>
        </w:tc>
        <w:tc>
          <w:tcPr>
            <w:tcW w:w="5103" w:type="dxa"/>
          </w:tcPr>
          <w:p w14:paraId="4F6584AC" w14:textId="7D899774" w:rsidR="007810E7" w:rsidRDefault="007810E7" w:rsidP="007810E7">
            <w:pPr>
              <w:cnfStyle w:val="000000000000" w:firstRow="0" w:lastRow="0" w:firstColumn="0" w:lastColumn="0" w:oddVBand="0" w:evenVBand="0" w:oddHBand="0" w:evenHBand="0" w:firstRowFirstColumn="0" w:firstRowLastColumn="0" w:lastRowFirstColumn="0" w:lastRowLastColumn="0"/>
              <w:rPr>
                <w:rFonts w:cs="Times New Roman"/>
                <w:szCs w:val="22"/>
              </w:rPr>
            </w:pPr>
            <w:r>
              <w:rPr>
                <w:rFonts w:cs="Times New Roman" w:hint="eastAsia"/>
                <w:szCs w:val="22"/>
              </w:rPr>
              <w:t>No.</w:t>
            </w:r>
          </w:p>
        </w:tc>
      </w:tr>
      <w:tr w:rsidR="007810E7" w14:paraId="49B3FAC4" w14:textId="77777777" w:rsidTr="00FC1D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661F842D" w14:textId="726E83B2" w:rsidR="007810E7" w:rsidRDefault="007810E7" w:rsidP="007810E7">
            <w:pPr>
              <w:rPr>
                <w:rFonts w:cs="Times New Roman"/>
                <w:szCs w:val="22"/>
              </w:rPr>
            </w:pPr>
            <w:r>
              <w:rPr>
                <w:rFonts w:cs="Times New Roman" w:hint="eastAsia"/>
                <w:szCs w:val="22"/>
              </w:rPr>
              <w:t>Access Random ID (Msg1 in CBRA)</w:t>
            </w:r>
          </w:p>
        </w:tc>
        <w:tc>
          <w:tcPr>
            <w:tcW w:w="2268" w:type="dxa"/>
          </w:tcPr>
          <w:p w14:paraId="621E9028" w14:textId="299CB8BE" w:rsidR="007810E7" w:rsidRDefault="007810E7" w:rsidP="007810E7">
            <w:pPr>
              <w:cnfStyle w:val="000000100000" w:firstRow="0" w:lastRow="0" w:firstColumn="0" w:lastColumn="0" w:oddVBand="0" w:evenVBand="0" w:oddHBand="1" w:evenHBand="0" w:firstRowFirstColumn="0" w:firstRowLastColumn="0" w:lastRowFirstColumn="0" w:lastRowLastColumn="0"/>
              <w:rPr>
                <w:rFonts w:cs="Times New Roman"/>
                <w:szCs w:val="22"/>
              </w:rPr>
            </w:pPr>
            <w:r>
              <w:rPr>
                <w:rFonts w:cs="Times New Roman" w:hint="eastAsia"/>
                <w:szCs w:val="22"/>
              </w:rPr>
              <w:t>Random ID</w:t>
            </w:r>
          </w:p>
        </w:tc>
        <w:tc>
          <w:tcPr>
            <w:tcW w:w="5103" w:type="dxa"/>
          </w:tcPr>
          <w:p w14:paraId="498D3841" w14:textId="04BA4B08" w:rsidR="007810E7" w:rsidRDefault="007810E7" w:rsidP="007810E7">
            <w:pPr>
              <w:cnfStyle w:val="000000100000" w:firstRow="0" w:lastRow="0" w:firstColumn="0" w:lastColumn="0" w:oddVBand="0" w:evenVBand="0" w:oddHBand="1" w:evenHBand="0" w:firstRowFirstColumn="0" w:firstRowLastColumn="0" w:lastRowFirstColumn="0" w:lastRowLastColumn="0"/>
              <w:rPr>
                <w:rFonts w:cs="Times New Roman"/>
                <w:szCs w:val="22"/>
              </w:rPr>
            </w:pPr>
            <w:r>
              <w:rPr>
                <w:rFonts w:cs="Times New Roman" w:hint="eastAsia"/>
                <w:szCs w:val="22"/>
              </w:rPr>
              <w:t>No.</w:t>
            </w:r>
          </w:p>
        </w:tc>
      </w:tr>
      <w:tr w:rsidR="007810E7" w14:paraId="45381B09" w14:textId="77777777" w:rsidTr="00FC1DBA">
        <w:tc>
          <w:tcPr>
            <w:cnfStyle w:val="001000000000" w:firstRow="0" w:lastRow="0" w:firstColumn="1" w:lastColumn="0" w:oddVBand="0" w:evenVBand="0" w:oddHBand="0" w:evenHBand="0" w:firstRowFirstColumn="0" w:firstRowLastColumn="0" w:lastRowFirstColumn="0" w:lastRowLastColumn="0"/>
            <w:tcW w:w="2122" w:type="dxa"/>
            <w:vMerge w:val="restart"/>
          </w:tcPr>
          <w:p w14:paraId="3229914A" w14:textId="3B0E3236" w:rsidR="007810E7" w:rsidRDefault="007810E7" w:rsidP="007810E7">
            <w:pPr>
              <w:rPr>
                <w:rFonts w:cs="Times New Roman"/>
                <w:szCs w:val="22"/>
              </w:rPr>
            </w:pPr>
            <w:r>
              <w:rPr>
                <w:rFonts w:cs="Times New Roman" w:hint="eastAsia"/>
                <w:szCs w:val="22"/>
              </w:rPr>
              <w:t>D2R Upper Layer Data Transfer</w:t>
            </w:r>
          </w:p>
        </w:tc>
        <w:tc>
          <w:tcPr>
            <w:tcW w:w="2268" w:type="dxa"/>
          </w:tcPr>
          <w:p w14:paraId="7FB79E78" w14:textId="548D8EEF" w:rsidR="007810E7" w:rsidRDefault="007810E7" w:rsidP="007810E7">
            <w:pPr>
              <w:cnfStyle w:val="000000000000" w:firstRow="0" w:lastRow="0" w:firstColumn="0" w:lastColumn="0" w:oddVBand="0" w:evenVBand="0" w:oddHBand="0" w:evenHBand="0" w:firstRowFirstColumn="0" w:firstRowLastColumn="0" w:lastRowFirstColumn="0" w:lastRowLastColumn="0"/>
              <w:rPr>
                <w:rFonts w:cs="Times New Roman"/>
                <w:szCs w:val="22"/>
              </w:rPr>
            </w:pPr>
            <w:r>
              <w:rPr>
                <w:rFonts w:cs="Times New Roman" w:hint="eastAsia"/>
                <w:szCs w:val="22"/>
              </w:rPr>
              <w:t>D2R Message Type</w:t>
            </w:r>
          </w:p>
        </w:tc>
        <w:tc>
          <w:tcPr>
            <w:tcW w:w="5103" w:type="dxa"/>
          </w:tcPr>
          <w:p w14:paraId="42475296" w14:textId="382C1D92" w:rsidR="007810E7" w:rsidRDefault="007810E7" w:rsidP="007810E7">
            <w:pPr>
              <w:cnfStyle w:val="000000000000" w:firstRow="0" w:lastRow="0" w:firstColumn="0" w:lastColumn="0" w:oddVBand="0" w:evenVBand="0" w:oddHBand="0" w:evenHBand="0" w:firstRowFirstColumn="0" w:firstRowLastColumn="0" w:lastRowFirstColumn="0" w:lastRowLastColumn="0"/>
              <w:rPr>
                <w:rFonts w:cs="Times New Roman"/>
                <w:szCs w:val="22"/>
              </w:rPr>
            </w:pPr>
            <w:r>
              <w:rPr>
                <w:rFonts w:cs="Times New Roman" w:hint="eastAsia"/>
                <w:szCs w:val="22"/>
              </w:rPr>
              <w:t>No.</w:t>
            </w:r>
          </w:p>
        </w:tc>
      </w:tr>
      <w:tr w:rsidR="007810E7" w14:paraId="27FBA21E" w14:textId="77777777" w:rsidTr="00FC1D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vMerge/>
          </w:tcPr>
          <w:p w14:paraId="00D440DC" w14:textId="77777777" w:rsidR="007810E7" w:rsidRDefault="007810E7" w:rsidP="007810E7">
            <w:pPr>
              <w:rPr>
                <w:rFonts w:cs="Times New Roman"/>
                <w:szCs w:val="22"/>
              </w:rPr>
            </w:pPr>
          </w:p>
        </w:tc>
        <w:tc>
          <w:tcPr>
            <w:tcW w:w="2268" w:type="dxa"/>
          </w:tcPr>
          <w:p w14:paraId="69C8F5E3" w14:textId="35154832" w:rsidR="007810E7" w:rsidRDefault="007810E7" w:rsidP="007810E7">
            <w:pPr>
              <w:cnfStyle w:val="000000100000" w:firstRow="0" w:lastRow="0" w:firstColumn="0" w:lastColumn="0" w:oddVBand="0" w:evenVBand="0" w:oddHBand="1" w:evenHBand="0" w:firstRowFirstColumn="0" w:firstRowLastColumn="0" w:lastRowFirstColumn="0" w:lastRowLastColumn="0"/>
              <w:rPr>
                <w:rFonts w:cs="Times New Roman"/>
                <w:szCs w:val="22"/>
              </w:rPr>
            </w:pPr>
            <w:r>
              <w:rPr>
                <w:rFonts w:cs="Times New Roman" w:hint="eastAsia"/>
                <w:szCs w:val="22"/>
              </w:rPr>
              <w:t>More Data Indication</w:t>
            </w:r>
          </w:p>
        </w:tc>
        <w:tc>
          <w:tcPr>
            <w:tcW w:w="5103" w:type="dxa"/>
          </w:tcPr>
          <w:p w14:paraId="5D8DE79F" w14:textId="0457A7CA" w:rsidR="007810E7" w:rsidRDefault="007810E7" w:rsidP="007810E7">
            <w:pPr>
              <w:cnfStyle w:val="000000100000" w:firstRow="0" w:lastRow="0" w:firstColumn="0" w:lastColumn="0" w:oddVBand="0" w:evenVBand="0" w:oddHBand="1" w:evenHBand="0" w:firstRowFirstColumn="0" w:firstRowLastColumn="0" w:lastRowFirstColumn="0" w:lastRowLastColumn="0"/>
              <w:rPr>
                <w:rFonts w:cs="Times New Roman"/>
                <w:szCs w:val="22"/>
              </w:rPr>
            </w:pPr>
            <w:r>
              <w:rPr>
                <w:rFonts w:cs="Times New Roman" w:hint="eastAsia"/>
                <w:szCs w:val="22"/>
              </w:rPr>
              <w:t>No.</w:t>
            </w:r>
          </w:p>
        </w:tc>
      </w:tr>
      <w:tr w:rsidR="007810E7" w14:paraId="79720145" w14:textId="77777777" w:rsidTr="00FC1DBA">
        <w:tc>
          <w:tcPr>
            <w:cnfStyle w:val="001000000000" w:firstRow="0" w:lastRow="0" w:firstColumn="1" w:lastColumn="0" w:oddVBand="0" w:evenVBand="0" w:oddHBand="0" w:evenHBand="0" w:firstRowFirstColumn="0" w:firstRowLastColumn="0" w:lastRowFirstColumn="0" w:lastRowLastColumn="0"/>
            <w:tcW w:w="2122" w:type="dxa"/>
            <w:vMerge/>
          </w:tcPr>
          <w:p w14:paraId="192CB24A" w14:textId="77777777" w:rsidR="007810E7" w:rsidRDefault="007810E7" w:rsidP="007810E7">
            <w:pPr>
              <w:rPr>
                <w:rFonts w:cs="Times New Roman"/>
                <w:szCs w:val="22"/>
              </w:rPr>
            </w:pPr>
          </w:p>
        </w:tc>
        <w:tc>
          <w:tcPr>
            <w:tcW w:w="2268" w:type="dxa"/>
          </w:tcPr>
          <w:p w14:paraId="62C084B1" w14:textId="08FA943E" w:rsidR="007810E7" w:rsidRDefault="007810E7" w:rsidP="007810E7">
            <w:pPr>
              <w:cnfStyle w:val="000000000000" w:firstRow="0" w:lastRow="0" w:firstColumn="0" w:lastColumn="0" w:oddVBand="0" w:evenVBand="0" w:oddHBand="0" w:evenHBand="0" w:firstRowFirstColumn="0" w:firstRowLastColumn="0" w:lastRowFirstColumn="0" w:lastRowLastColumn="0"/>
              <w:rPr>
                <w:rFonts w:cs="Times New Roman"/>
                <w:szCs w:val="22"/>
              </w:rPr>
            </w:pPr>
            <w:r>
              <w:rPr>
                <w:rFonts w:cs="Times New Roman" w:hint="eastAsia"/>
                <w:szCs w:val="22"/>
              </w:rPr>
              <w:t>Data SDU</w:t>
            </w:r>
          </w:p>
        </w:tc>
        <w:tc>
          <w:tcPr>
            <w:tcW w:w="5103" w:type="dxa"/>
          </w:tcPr>
          <w:p w14:paraId="0EAF62E7" w14:textId="41C79CCD" w:rsidR="007810E7" w:rsidRDefault="007810E7" w:rsidP="007810E7">
            <w:pPr>
              <w:cnfStyle w:val="000000000000" w:firstRow="0" w:lastRow="0" w:firstColumn="0" w:lastColumn="0" w:oddVBand="0" w:evenVBand="0" w:oddHBand="0" w:evenHBand="0" w:firstRowFirstColumn="0" w:firstRowLastColumn="0" w:lastRowFirstColumn="0" w:lastRowLastColumn="0"/>
              <w:rPr>
                <w:rFonts w:cs="Times New Roman"/>
                <w:szCs w:val="22"/>
              </w:rPr>
            </w:pPr>
            <w:r>
              <w:rPr>
                <w:rFonts w:cs="Times New Roman" w:hint="eastAsia"/>
                <w:szCs w:val="22"/>
              </w:rPr>
              <w:t>The D2R AIoT NAS message received by the UE reader needs to be delivered to AIOTF via the gNB.</w:t>
            </w:r>
          </w:p>
        </w:tc>
      </w:tr>
    </w:tbl>
    <w:p w14:paraId="36021495" w14:textId="77777777" w:rsidR="0019721B" w:rsidRDefault="0019721B" w:rsidP="007E2FC8">
      <w:pPr>
        <w:rPr>
          <w:rFonts w:cs="Times New Roman"/>
          <w:szCs w:val="22"/>
        </w:rPr>
      </w:pPr>
    </w:p>
    <w:p w14:paraId="30D23F38" w14:textId="605B5CE2" w:rsidR="007810E7" w:rsidRDefault="007810E7" w:rsidP="007E2FC8">
      <w:pPr>
        <w:rPr>
          <w:rFonts w:cs="Times New Roman"/>
          <w:szCs w:val="22"/>
        </w:rPr>
      </w:pPr>
      <w:r w:rsidRPr="007810E7">
        <w:rPr>
          <w:rFonts w:cs="Times New Roman"/>
          <w:szCs w:val="22"/>
        </w:rPr>
        <w:t>In addition to the above analysis, it should be noted that the radio resources required for the UE reader to transmit R2D messages (Paging, Access Trigger, Random ID Response, R2D Upper Layer Data Transfer, NACK Feedback) also need to be allocated by the gNB to the UE reader.</w:t>
      </w:r>
    </w:p>
    <w:p w14:paraId="50C776E1" w14:textId="77777777" w:rsidR="007810E7" w:rsidRDefault="007810E7" w:rsidP="007810E7">
      <w:pPr>
        <w:pStyle w:val="ObservationandProposal"/>
      </w:pPr>
      <w:r>
        <w:rPr>
          <w:rFonts w:hint="eastAsia"/>
        </w:rPr>
        <w:t>Proposal 1.</w:t>
      </w:r>
      <w:r>
        <w:tab/>
      </w:r>
      <w:r>
        <w:rPr>
          <w:rFonts w:hint="eastAsia"/>
        </w:rPr>
        <w:t>To achieve the same service as Topology 1, following information shall be delivered in DL RRC message between the gNB and the UE reader.</w:t>
      </w:r>
    </w:p>
    <w:p w14:paraId="7EF8D7B3" w14:textId="71242484" w:rsidR="007810E7" w:rsidRPr="007810E7" w:rsidRDefault="007810E7" w:rsidP="007810E7">
      <w:pPr>
        <w:pStyle w:val="ObservationandProposal"/>
        <w:numPr>
          <w:ilvl w:val="0"/>
          <w:numId w:val="6"/>
        </w:numPr>
        <w:ind w:firstLineChars="0"/>
      </w:pPr>
      <w:r>
        <w:rPr>
          <w:rFonts w:hint="eastAsia"/>
        </w:rPr>
        <w:t xml:space="preserve">Radio resources for transmission of </w:t>
      </w:r>
      <w:r w:rsidR="00BB03A7">
        <w:t>following</w:t>
      </w:r>
      <w:r>
        <w:rPr>
          <w:rFonts w:hint="eastAsia"/>
        </w:rPr>
        <w:t xml:space="preserve"> </w:t>
      </w:r>
      <w:r w:rsidRPr="007810E7">
        <w:rPr>
          <w:rFonts w:cs="Times New Roman"/>
        </w:rPr>
        <w:t>R2D messages</w:t>
      </w:r>
      <w:r>
        <w:rPr>
          <w:rFonts w:cs="Times New Roman" w:hint="eastAsia"/>
        </w:rPr>
        <w:t>:</w:t>
      </w:r>
      <w:r w:rsidRPr="007810E7">
        <w:rPr>
          <w:rFonts w:cs="Times New Roman"/>
        </w:rPr>
        <w:t xml:space="preserve"> Paging, Access Trigger, Random ID Response, R2D Upper Layer Data Transfer, NACK Feedback</w:t>
      </w:r>
      <w:r>
        <w:rPr>
          <w:rFonts w:cs="Times New Roman" w:hint="eastAsia"/>
        </w:rPr>
        <w:t>.</w:t>
      </w:r>
    </w:p>
    <w:p w14:paraId="2A09BC80" w14:textId="5D6C4124" w:rsidR="007810E7" w:rsidRPr="007810E7" w:rsidRDefault="007810E7" w:rsidP="007810E7">
      <w:pPr>
        <w:pStyle w:val="ObservationandProposal"/>
        <w:numPr>
          <w:ilvl w:val="0"/>
          <w:numId w:val="6"/>
        </w:numPr>
        <w:ind w:firstLineChars="0"/>
      </w:pPr>
      <w:r>
        <w:rPr>
          <w:rFonts w:hint="eastAsia"/>
        </w:rPr>
        <w:t xml:space="preserve">Radio resources for transmission of D2R messages to indicate </w:t>
      </w:r>
      <w:r w:rsidR="004F2770">
        <w:t>the</w:t>
      </w:r>
      <w:r>
        <w:rPr>
          <w:rFonts w:hint="eastAsia"/>
        </w:rPr>
        <w:t xml:space="preserve"> following R2D messages: </w:t>
      </w:r>
      <w:r w:rsidRPr="007810E7">
        <w:rPr>
          <w:rFonts w:cs="Times New Roman"/>
        </w:rPr>
        <w:t>Paging, Random ID Response, R2D Upper Layer Data Transfer</w:t>
      </w:r>
      <w:r>
        <w:rPr>
          <w:rFonts w:cs="Times New Roman" w:hint="eastAsia"/>
        </w:rPr>
        <w:t>.</w:t>
      </w:r>
    </w:p>
    <w:p w14:paraId="7BAE1C40" w14:textId="68F85535" w:rsidR="007810E7" w:rsidRDefault="007810E7" w:rsidP="007810E7">
      <w:pPr>
        <w:pStyle w:val="ObservationandProposal"/>
        <w:numPr>
          <w:ilvl w:val="0"/>
          <w:numId w:val="6"/>
        </w:numPr>
        <w:ind w:firstLineChars="0"/>
      </w:pPr>
      <w:r>
        <w:rPr>
          <w:rFonts w:hint="eastAsia"/>
        </w:rPr>
        <w:t>Correlation ID</w:t>
      </w:r>
    </w:p>
    <w:p w14:paraId="38923751" w14:textId="76741C01" w:rsidR="007810E7" w:rsidRDefault="007810E7" w:rsidP="007810E7">
      <w:pPr>
        <w:pStyle w:val="ObservationandProposal"/>
        <w:numPr>
          <w:ilvl w:val="0"/>
          <w:numId w:val="6"/>
        </w:numPr>
        <w:ind w:firstLineChars="0"/>
      </w:pPr>
      <w:r>
        <w:rPr>
          <w:rFonts w:hint="eastAsia"/>
        </w:rPr>
        <w:t>Paging ID</w:t>
      </w:r>
    </w:p>
    <w:p w14:paraId="33F95B78" w14:textId="6DC9A675" w:rsidR="007810E7" w:rsidRDefault="007810E7" w:rsidP="007810E7">
      <w:pPr>
        <w:pStyle w:val="ObservationandProposal"/>
        <w:numPr>
          <w:ilvl w:val="0"/>
          <w:numId w:val="6"/>
        </w:numPr>
        <w:ind w:firstLineChars="0"/>
      </w:pPr>
      <w:r>
        <w:rPr>
          <w:rFonts w:hint="eastAsia"/>
        </w:rPr>
        <w:t>R2D AIoT NAS message</w:t>
      </w:r>
    </w:p>
    <w:p w14:paraId="7DD9B3A6" w14:textId="0BE0F12D" w:rsidR="007810E7" w:rsidRDefault="007810E7" w:rsidP="007810E7">
      <w:pPr>
        <w:pStyle w:val="ObservationandProposal"/>
        <w:ind w:firstLineChars="0"/>
      </w:pPr>
      <w:r>
        <w:rPr>
          <w:rFonts w:hint="eastAsia"/>
        </w:rPr>
        <w:t>Proposal 2.</w:t>
      </w:r>
      <w:r>
        <w:tab/>
      </w:r>
      <w:r>
        <w:rPr>
          <w:rFonts w:hint="eastAsia"/>
        </w:rPr>
        <w:t>To achieve the same service as Topology 1, following information shall be delivered in UL RRC message between the gNB and the UE reader.</w:t>
      </w:r>
    </w:p>
    <w:p w14:paraId="089835D0" w14:textId="54093669" w:rsidR="007810E7" w:rsidRDefault="007810E7" w:rsidP="007810E7">
      <w:pPr>
        <w:pStyle w:val="ObservationandProposal"/>
        <w:numPr>
          <w:ilvl w:val="0"/>
          <w:numId w:val="6"/>
        </w:numPr>
        <w:ind w:firstLineChars="0"/>
      </w:pPr>
      <w:r>
        <w:rPr>
          <w:rFonts w:hint="eastAsia"/>
        </w:rPr>
        <w:t>D2R AIoT NAS message</w:t>
      </w:r>
    </w:p>
    <w:p w14:paraId="431669C6" w14:textId="77777777" w:rsidR="007810E7" w:rsidRPr="008054C1" w:rsidRDefault="007810E7" w:rsidP="007E2FC8">
      <w:pPr>
        <w:rPr>
          <w:rFonts w:cs="Times New Roman"/>
          <w:szCs w:val="22"/>
        </w:rPr>
      </w:pPr>
    </w:p>
    <w:p w14:paraId="05E35EBA" w14:textId="47AB6A9E" w:rsidR="00A5129A" w:rsidRPr="007E7F61" w:rsidRDefault="003169E4" w:rsidP="00A5129A">
      <w:pPr>
        <w:pStyle w:val="2"/>
        <w:numPr>
          <w:ilvl w:val="1"/>
          <w:numId w:val="2"/>
        </w:numPr>
        <w:rPr>
          <w:rFonts w:ascii="Times New Roman" w:hAnsi="Times New Roman"/>
        </w:rPr>
      </w:pPr>
      <w:r>
        <w:rPr>
          <w:rFonts w:ascii="Times New Roman" w:hAnsi="Times New Roman" w:hint="eastAsia"/>
        </w:rPr>
        <w:lastRenderedPageBreak/>
        <w:t>Reader ID</w:t>
      </w:r>
    </w:p>
    <w:p w14:paraId="54A29D07" w14:textId="77777777" w:rsidR="003323C1" w:rsidRDefault="003323C1" w:rsidP="007E2FC8">
      <w:pPr>
        <w:rPr>
          <w:rFonts w:cs="Times New Roman"/>
          <w:szCs w:val="22"/>
        </w:rPr>
      </w:pPr>
      <w:r w:rsidRPr="003323C1">
        <w:rPr>
          <w:rFonts w:cs="Times New Roman"/>
          <w:szCs w:val="22"/>
        </w:rPr>
        <w:t xml:space="preserve">In the operation of Topology 2, it is </w:t>
      </w:r>
      <w:r>
        <w:rPr>
          <w:rFonts w:cs="Times New Roman" w:hint="eastAsia"/>
          <w:szCs w:val="22"/>
        </w:rPr>
        <w:t>usual</w:t>
      </w:r>
      <w:r w:rsidRPr="003323C1">
        <w:rPr>
          <w:rFonts w:cs="Times New Roman"/>
          <w:szCs w:val="22"/>
        </w:rPr>
        <w:t xml:space="preserve"> to have multiple UE readers attached to a single gNB. In such cases, there </w:t>
      </w:r>
      <w:r>
        <w:rPr>
          <w:rFonts w:cs="Times New Roman" w:hint="eastAsia"/>
          <w:szCs w:val="22"/>
        </w:rPr>
        <w:t>can</w:t>
      </w:r>
      <w:r w:rsidRPr="003323C1">
        <w:rPr>
          <w:rFonts w:cs="Times New Roman"/>
          <w:szCs w:val="22"/>
        </w:rPr>
        <w:t xml:space="preserve"> be situations where the coverage areas of </w:t>
      </w:r>
      <w:r>
        <w:rPr>
          <w:rFonts w:cs="Times New Roman" w:hint="eastAsia"/>
          <w:szCs w:val="22"/>
        </w:rPr>
        <w:t xml:space="preserve">neighboring </w:t>
      </w:r>
      <w:r w:rsidRPr="003323C1">
        <w:rPr>
          <w:rFonts w:cs="Times New Roman"/>
          <w:szCs w:val="22"/>
        </w:rPr>
        <w:t>UE</w:t>
      </w:r>
      <w:r>
        <w:rPr>
          <w:rFonts w:cs="Times New Roman" w:hint="eastAsia"/>
          <w:szCs w:val="22"/>
        </w:rPr>
        <w:t xml:space="preserve"> reader</w:t>
      </w:r>
      <w:r w:rsidRPr="003323C1">
        <w:rPr>
          <w:rFonts w:cs="Times New Roman"/>
          <w:szCs w:val="22"/>
        </w:rPr>
        <w:t xml:space="preserve">s overlap. That is, there may be environments in which a device </w:t>
      </w:r>
      <w:r>
        <w:rPr>
          <w:rFonts w:cs="Times New Roman" w:hint="eastAsia"/>
          <w:szCs w:val="22"/>
        </w:rPr>
        <w:t xml:space="preserve">can </w:t>
      </w:r>
      <w:r w:rsidRPr="003323C1">
        <w:rPr>
          <w:rFonts w:cs="Times New Roman"/>
          <w:szCs w:val="22"/>
        </w:rPr>
        <w:t>receive paging messages from multiple UE readers.</w:t>
      </w:r>
    </w:p>
    <w:p w14:paraId="1EBF127C" w14:textId="13AD5DDC" w:rsidR="00386C04" w:rsidRDefault="003323C1" w:rsidP="007E2FC8">
      <w:pPr>
        <w:rPr>
          <w:rFonts w:cs="Times New Roman"/>
          <w:szCs w:val="22"/>
        </w:rPr>
      </w:pPr>
      <w:r w:rsidRPr="003323C1">
        <w:rPr>
          <w:rFonts w:cs="Times New Roman"/>
          <w:szCs w:val="22"/>
        </w:rPr>
        <w:t>Even in the discussions on Release 19 Topology 1, it was recognized that overlapping coverage between readers could occur</w:t>
      </w:r>
      <w:r w:rsidR="00331A6A">
        <w:rPr>
          <w:rFonts w:cs="Times New Roman" w:hint="eastAsia"/>
          <w:szCs w:val="22"/>
        </w:rPr>
        <w:t xml:space="preserve">, but </w:t>
      </w:r>
      <w:r w:rsidRPr="003323C1">
        <w:rPr>
          <w:rFonts w:cs="Times New Roman"/>
          <w:szCs w:val="22"/>
        </w:rPr>
        <w:t>no specific solution was defined for this, and the issue was addressed operationally by assigning different Transaction IDs to neighboring readers.</w:t>
      </w:r>
    </w:p>
    <w:p w14:paraId="55654126" w14:textId="77777777" w:rsidR="002E7F5D" w:rsidRDefault="002E7F5D" w:rsidP="007E2FC8">
      <w:pPr>
        <w:rPr>
          <w:rFonts w:cs="Times New Roman"/>
          <w:szCs w:val="22"/>
        </w:rPr>
      </w:pPr>
      <w:r w:rsidRPr="002E7F5D">
        <w:rPr>
          <w:rFonts w:cs="Times New Roman"/>
          <w:szCs w:val="22"/>
        </w:rPr>
        <w:t>Unlike Topology 1, where the physical location of gNB readers can be easily managed operationally, Topology 2 involves mobile UE readers, making the adjacency between readers dynamically change.</w:t>
      </w:r>
    </w:p>
    <w:p w14:paraId="18F2BB2A" w14:textId="6FB221FB" w:rsidR="00331A6A" w:rsidRDefault="004F2770" w:rsidP="007E2FC8">
      <w:pPr>
        <w:rPr>
          <w:rFonts w:cs="Times New Roman"/>
          <w:szCs w:val="22"/>
        </w:rPr>
      </w:pPr>
      <w:r w:rsidRPr="002E7F5D">
        <w:rPr>
          <w:rFonts w:cs="Times New Roman"/>
          <w:szCs w:val="22"/>
        </w:rPr>
        <w:t>A</w:t>
      </w:r>
      <w:r w:rsidR="002E7F5D" w:rsidRPr="002E7F5D">
        <w:rPr>
          <w:rFonts w:cs="Times New Roman"/>
          <w:szCs w:val="22"/>
        </w:rPr>
        <w:t xml:space="preserve"> potential solution</w:t>
      </w:r>
      <w:r w:rsidR="002E7F5D">
        <w:rPr>
          <w:rFonts w:cs="Times New Roman" w:hint="eastAsia"/>
          <w:szCs w:val="22"/>
        </w:rPr>
        <w:t xml:space="preserve"> is</w:t>
      </w:r>
      <w:r w:rsidR="002E7F5D" w:rsidRPr="002E7F5D">
        <w:rPr>
          <w:rFonts w:cs="Times New Roman"/>
          <w:szCs w:val="22"/>
        </w:rPr>
        <w:t xml:space="preserve"> for AIOTF to continuously track the location information of UE readers and control the assignment of Correlation IDs accordingly. However, this would require the integration of positioning functionality into the Topology 2 network, significantly increasing deployment costs. Moreover, it would necessitate defining interactions between AIOTF and LMF on the CN side, resulting in a substantial impact and making the approach impractical.</w:t>
      </w:r>
    </w:p>
    <w:p w14:paraId="7E5D3D26" w14:textId="328DDC07" w:rsidR="002E7F5D" w:rsidRDefault="002E7F5D" w:rsidP="007E2FC8">
      <w:pPr>
        <w:rPr>
          <w:rFonts w:cs="Times New Roman"/>
          <w:szCs w:val="22"/>
        </w:rPr>
      </w:pPr>
      <w:r w:rsidRPr="002E7F5D">
        <w:rPr>
          <w:rFonts w:cs="Times New Roman"/>
          <w:szCs w:val="22"/>
        </w:rPr>
        <w:t xml:space="preserve">As a solution that can be introduced without impacting the CN, the introduction of a reader ID </w:t>
      </w:r>
      <w:r>
        <w:rPr>
          <w:rFonts w:cs="Times New Roman" w:hint="eastAsia"/>
          <w:szCs w:val="22"/>
        </w:rPr>
        <w:t>can be</w:t>
      </w:r>
      <w:r w:rsidRPr="002E7F5D">
        <w:rPr>
          <w:rFonts w:cs="Times New Roman"/>
          <w:szCs w:val="22"/>
        </w:rPr>
        <w:t xml:space="preserve"> considered. </w:t>
      </w:r>
      <w:r>
        <w:rPr>
          <w:rFonts w:cs="Times New Roman" w:hint="eastAsia"/>
          <w:szCs w:val="22"/>
        </w:rPr>
        <w:t>In other words</w:t>
      </w:r>
      <w:r w:rsidRPr="002E7F5D">
        <w:rPr>
          <w:rFonts w:cs="Times New Roman"/>
          <w:szCs w:val="22"/>
        </w:rPr>
        <w:t>, different reader IDs would be assigned to UE readers, and when a device receives a new paging message, it would initiate a new procedure only if the Transaction ID or reader ID is different. This provides a simple resolution.</w:t>
      </w:r>
    </w:p>
    <w:p w14:paraId="555737F7" w14:textId="77777777" w:rsidR="002E7F5D" w:rsidRDefault="002E7F5D" w:rsidP="002E7F5D">
      <w:pPr>
        <w:pStyle w:val="ObservationandProposal"/>
      </w:pPr>
      <w:r>
        <w:rPr>
          <w:rFonts w:hint="eastAsia"/>
        </w:rPr>
        <w:t>Proposal 3.</w:t>
      </w:r>
      <w:r>
        <w:tab/>
      </w:r>
      <w:r>
        <w:rPr>
          <w:rFonts w:hint="eastAsia"/>
        </w:rPr>
        <w:t xml:space="preserve">Consider the scenario where neighboring UE readers have overlapped coverage. </w:t>
      </w:r>
    </w:p>
    <w:p w14:paraId="0E36E101" w14:textId="2BFCD246" w:rsidR="002E7F5D" w:rsidRDefault="002E7F5D" w:rsidP="002E7F5D">
      <w:pPr>
        <w:pStyle w:val="ObservationandProposal"/>
      </w:pPr>
      <w:r>
        <w:rPr>
          <w:rFonts w:hint="eastAsia"/>
        </w:rPr>
        <w:t>Proposal 4.</w:t>
      </w:r>
      <w:r>
        <w:tab/>
      </w:r>
      <w:r>
        <w:rPr>
          <w:rFonts w:hint="eastAsia"/>
        </w:rPr>
        <w:t xml:space="preserve">Introduce Reader ID to </w:t>
      </w:r>
      <w:r w:rsidR="00BB03A7">
        <w:t>differentiate</w:t>
      </w:r>
      <w:r>
        <w:rPr>
          <w:rFonts w:hint="eastAsia"/>
        </w:rPr>
        <w:t xml:space="preserve"> UE readers attaching to the same gNB.</w:t>
      </w:r>
    </w:p>
    <w:p w14:paraId="513B1058" w14:textId="77777777" w:rsidR="002E7F5D" w:rsidRPr="007E7F61" w:rsidRDefault="002E7F5D" w:rsidP="007E2FC8">
      <w:pPr>
        <w:rPr>
          <w:rFonts w:cs="Times New Roman"/>
          <w:szCs w:val="22"/>
        </w:rPr>
      </w:pPr>
    </w:p>
    <w:p w14:paraId="56E25677" w14:textId="4F7AAA5A" w:rsidR="007E2FC8" w:rsidRPr="007E7F61" w:rsidRDefault="00BB03A7" w:rsidP="007E2FC8">
      <w:pPr>
        <w:pStyle w:val="2"/>
        <w:numPr>
          <w:ilvl w:val="0"/>
          <w:numId w:val="2"/>
        </w:numPr>
        <w:rPr>
          <w:rFonts w:ascii="Times New Roman" w:hAnsi="Times New Roman"/>
        </w:rPr>
      </w:pPr>
      <w:r>
        <w:rPr>
          <w:rFonts w:ascii="Times New Roman" w:hAnsi="Times New Roman"/>
        </w:rPr>
        <w:t>Conclusions</w:t>
      </w:r>
    </w:p>
    <w:p w14:paraId="4E889515" w14:textId="77777777" w:rsidR="009E05B0" w:rsidRDefault="009E05B0" w:rsidP="009E05B0">
      <w:pPr>
        <w:pStyle w:val="ObservationandProposal"/>
      </w:pPr>
      <w:r>
        <w:rPr>
          <w:rFonts w:hint="eastAsia"/>
        </w:rPr>
        <w:t>Proposal 1.</w:t>
      </w:r>
      <w:r>
        <w:tab/>
      </w:r>
      <w:r>
        <w:rPr>
          <w:rFonts w:hint="eastAsia"/>
        </w:rPr>
        <w:t>To achieve the same service as Topology 1, following information shall be delivered in DL RRC message between the gNB and the UE reader.</w:t>
      </w:r>
    </w:p>
    <w:p w14:paraId="68CC1A66" w14:textId="31133990" w:rsidR="009E05B0" w:rsidRPr="007810E7" w:rsidRDefault="009E05B0" w:rsidP="009E05B0">
      <w:pPr>
        <w:pStyle w:val="ObservationandProposal"/>
        <w:numPr>
          <w:ilvl w:val="0"/>
          <w:numId w:val="6"/>
        </w:numPr>
        <w:ind w:firstLineChars="0"/>
      </w:pPr>
      <w:r>
        <w:rPr>
          <w:rFonts w:hint="eastAsia"/>
        </w:rPr>
        <w:t xml:space="preserve">Radio resources for transmission of </w:t>
      </w:r>
      <w:r w:rsidR="00BB03A7">
        <w:t>following</w:t>
      </w:r>
      <w:r>
        <w:rPr>
          <w:rFonts w:hint="eastAsia"/>
        </w:rPr>
        <w:t xml:space="preserve"> </w:t>
      </w:r>
      <w:r w:rsidRPr="007810E7">
        <w:rPr>
          <w:rFonts w:cs="Times New Roman"/>
        </w:rPr>
        <w:t>R2D messages</w:t>
      </w:r>
      <w:r>
        <w:rPr>
          <w:rFonts w:cs="Times New Roman" w:hint="eastAsia"/>
        </w:rPr>
        <w:t>:</w:t>
      </w:r>
      <w:r w:rsidRPr="007810E7">
        <w:rPr>
          <w:rFonts w:cs="Times New Roman"/>
        </w:rPr>
        <w:t xml:space="preserve"> Paging, Access Trigger, Random ID Response, R2D Upper Layer Data Transfer, NACK Feedback</w:t>
      </w:r>
      <w:r>
        <w:rPr>
          <w:rFonts w:cs="Times New Roman" w:hint="eastAsia"/>
        </w:rPr>
        <w:t>.</w:t>
      </w:r>
    </w:p>
    <w:p w14:paraId="791D97BD" w14:textId="6A00EEA9" w:rsidR="009E05B0" w:rsidRPr="007810E7" w:rsidRDefault="009E05B0" w:rsidP="009E05B0">
      <w:pPr>
        <w:pStyle w:val="ObservationandProposal"/>
        <w:numPr>
          <w:ilvl w:val="0"/>
          <w:numId w:val="6"/>
        </w:numPr>
        <w:ind w:firstLineChars="0"/>
      </w:pPr>
      <w:r>
        <w:rPr>
          <w:rFonts w:hint="eastAsia"/>
        </w:rPr>
        <w:t xml:space="preserve">Radio resources for transmission of D2R messages to indicate </w:t>
      </w:r>
      <w:r w:rsidR="004F2770">
        <w:t>the</w:t>
      </w:r>
      <w:r>
        <w:rPr>
          <w:rFonts w:hint="eastAsia"/>
        </w:rPr>
        <w:t xml:space="preserve"> following R2D messages: </w:t>
      </w:r>
      <w:r w:rsidRPr="007810E7">
        <w:rPr>
          <w:rFonts w:cs="Times New Roman"/>
        </w:rPr>
        <w:t>Paging, Random ID Response, R2D Upper Layer Data Transfer</w:t>
      </w:r>
      <w:r>
        <w:rPr>
          <w:rFonts w:cs="Times New Roman" w:hint="eastAsia"/>
        </w:rPr>
        <w:t>.</w:t>
      </w:r>
    </w:p>
    <w:p w14:paraId="7F5321F2" w14:textId="77777777" w:rsidR="009E05B0" w:rsidRDefault="009E05B0" w:rsidP="009E05B0">
      <w:pPr>
        <w:pStyle w:val="ObservationandProposal"/>
        <w:numPr>
          <w:ilvl w:val="0"/>
          <w:numId w:val="6"/>
        </w:numPr>
        <w:ind w:firstLineChars="0"/>
      </w:pPr>
      <w:r>
        <w:rPr>
          <w:rFonts w:hint="eastAsia"/>
        </w:rPr>
        <w:t>Correlation ID</w:t>
      </w:r>
    </w:p>
    <w:p w14:paraId="334A3D85" w14:textId="77777777" w:rsidR="009E05B0" w:rsidRDefault="009E05B0" w:rsidP="009E05B0">
      <w:pPr>
        <w:pStyle w:val="ObservationandProposal"/>
        <w:numPr>
          <w:ilvl w:val="0"/>
          <w:numId w:val="6"/>
        </w:numPr>
        <w:ind w:firstLineChars="0"/>
      </w:pPr>
      <w:r>
        <w:rPr>
          <w:rFonts w:hint="eastAsia"/>
        </w:rPr>
        <w:t>Paging ID</w:t>
      </w:r>
    </w:p>
    <w:p w14:paraId="4226F3DA" w14:textId="77777777" w:rsidR="009E05B0" w:rsidRDefault="009E05B0" w:rsidP="009E05B0">
      <w:pPr>
        <w:pStyle w:val="ObservationandProposal"/>
        <w:numPr>
          <w:ilvl w:val="0"/>
          <w:numId w:val="6"/>
        </w:numPr>
        <w:ind w:firstLineChars="0"/>
      </w:pPr>
      <w:r>
        <w:rPr>
          <w:rFonts w:hint="eastAsia"/>
        </w:rPr>
        <w:t>R2D AIoT NAS message</w:t>
      </w:r>
    </w:p>
    <w:p w14:paraId="6B65D88C" w14:textId="77777777" w:rsidR="009E05B0" w:rsidRDefault="009E05B0" w:rsidP="009E05B0">
      <w:pPr>
        <w:pStyle w:val="ObservationandProposal"/>
        <w:ind w:firstLineChars="0"/>
      </w:pPr>
      <w:r>
        <w:rPr>
          <w:rFonts w:hint="eastAsia"/>
        </w:rPr>
        <w:t>Proposal 2.</w:t>
      </w:r>
      <w:r>
        <w:tab/>
      </w:r>
      <w:r>
        <w:rPr>
          <w:rFonts w:hint="eastAsia"/>
        </w:rPr>
        <w:t>To achieve the same service as Topology 1, following information shall be delivered in UL RRC message between the gNB and the UE reader.</w:t>
      </w:r>
    </w:p>
    <w:p w14:paraId="3D315158" w14:textId="77777777" w:rsidR="009E05B0" w:rsidRDefault="009E05B0" w:rsidP="009E05B0">
      <w:pPr>
        <w:pStyle w:val="ObservationandProposal"/>
        <w:numPr>
          <w:ilvl w:val="0"/>
          <w:numId w:val="6"/>
        </w:numPr>
        <w:ind w:firstLineChars="0"/>
      </w:pPr>
      <w:r>
        <w:rPr>
          <w:rFonts w:hint="eastAsia"/>
        </w:rPr>
        <w:t>D2R AIoT NAS message</w:t>
      </w:r>
    </w:p>
    <w:p w14:paraId="4DE370B9" w14:textId="77777777" w:rsidR="002E7F5D" w:rsidRDefault="002E7F5D" w:rsidP="002E7F5D">
      <w:pPr>
        <w:pStyle w:val="ObservationandProposal"/>
      </w:pPr>
      <w:r>
        <w:rPr>
          <w:rFonts w:hint="eastAsia"/>
        </w:rPr>
        <w:t>Proposal 3.</w:t>
      </w:r>
      <w:r>
        <w:tab/>
      </w:r>
      <w:r>
        <w:rPr>
          <w:rFonts w:hint="eastAsia"/>
        </w:rPr>
        <w:t xml:space="preserve">Consider the scenario where neighboring UE readers have overlapped coverage. </w:t>
      </w:r>
    </w:p>
    <w:p w14:paraId="29683C87" w14:textId="48993F24" w:rsidR="002E7F5D" w:rsidRDefault="002E7F5D" w:rsidP="002E7F5D">
      <w:pPr>
        <w:pStyle w:val="ObservationandProposal"/>
      </w:pPr>
      <w:r>
        <w:rPr>
          <w:rFonts w:hint="eastAsia"/>
        </w:rPr>
        <w:t>Proposal 4.</w:t>
      </w:r>
      <w:r>
        <w:tab/>
      </w:r>
      <w:r>
        <w:rPr>
          <w:rFonts w:hint="eastAsia"/>
        </w:rPr>
        <w:t xml:space="preserve">Introduce Reader ID to </w:t>
      </w:r>
      <w:r w:rsidR="00BB03A7">
        <w:t>differentiate</w:t>
      </w:r>
      <w:r>
        <w:rPr>
          <w:rFonts w:hint="eastAsia"/>
        </w:rPr>
        <w:t xml:space="preserve"> UE readers attaching to the same gNB.</w:t>
      </w:r>
    </w:p>
    <w:p w14:paraId="656DC4CC" w14:textId="77777777" w:rsidR="002E7F5D" w:rsidRPr="007E7F61" w:rsidRDefault="002E7F5D" w:rsidP="007E2FC8">
      <w:pPr>
        <w:rPr>
          <w:rFonts w:cs="Times New Roman"/>
          <w:szCs w:val="22"/>
        </w:rPr>
      </w:pPr>
    </w:p>
    <w:p w14:paraId="19CDB79A" w14:textId="77777777" w:rsidR="007E2FC8" w:rsidRPr="007E7F61" w:rsidRDefault="007E2FC8" w:rsidP="007E2FC8">
      <w:pPr>
        <w:pStyle w:val="2"/>
        <w:numPr>
          <w:ilvl w:val="0"/>
          <w:numId w:val="2"/>
        </w:numPr>
        <w:rPr>
          <w:rFonts w:ascii="Times New Roman" w:hAnsi="Times New Roman"/>
        </w:rPr>
      </w:pPr>
      <w:r w:rsidRPr="007E7F61">
        <w:rPr>
          <w:rFonts w:ascii="Times New Roman" w:hAnsi="Times New Roman"/>
        </w:rPr>
        <w:t>References</w:t>
      </w:r>
    </w:p>
    <w:p w14:paraId="71FB5545" w14:textId="4D43EE6E" w:rsidR="008E5A66" w:rsidRPr="003D4214" w:rsidRDefault="007D23E4" w:rsidP="007D1A4E">
      <w:pPr>
        <w:pStyle w:val="Reference"/>
        <w:rPr>
          <w:rFonts w:cs="Times New Roman"/>
        </w:rPr>
      </w:pPr>
      <w:r>
        <w:rPr>
          <w:rFonts w:cs="Times New Roman" w:hint="eastAsia"/>
        </w:rPr>
        <w:t>[1]</w:t>
      </w:r>
      <w:r>
        <w:rPr>
          <w:rFonts w:cs="Times New Roman"/>
        </w:rPr>
        <w:tab/>
      </w:r>
      <w:r w:rsidR="001F5454">
        <w:rPr>
          <w:rFonts w:cs="Times New Roman" w:hint="eastAsia"/>
        </w:rPr>
        <w:t xml:space="preserve">RP-252894, </w:t>
      </w:r>
      <w:r w:rsidR="001F5454">
        <w:rPr>
          <w:rFonts w:cs="Times New Roman"/>
        </w:rPr>
        <w:t>“</w:t>
      </w:r>
      <w:r w:rsidR="001F5454" w:rsidRPr="001F5454">
        <w:rPr>
          <w:rFonts w:cs="Times New Roman"/>
        </w:rPr>
        <w:t>Revised WI: Solutions for Ambient IoT (Internet of Things) in NR Phase 2</w:t>
      </w:r>
      <w:r w:rsidR="001F5454">
        <w:rPr>
          <w:rFonts w:cs="Times New Roman" w:hint="eastAsia"/>
        </w:rPr>
        <w:t>,</w:t>
      </w:r>
      <w:r w:rsidR="001F5454">
        <w:rPr>
          <w:rFonts w:cs="Times New Roman"/>
        </w:rPr>
        <w:t>”</w:t>
      </w:r>
      <w:r w:rsidR="001F5454">
        <w:rPr>
          <w:rFonts w:cs="Times New Roman" w:hint="eastAsia"/>
        </w:rPr>
        <w:t xml:space="preserve"> </w:t>
      </w:r>
      <w:r w:rsidR="00B67D35">
        <w:rPr>
          <w:rFonts w:cs="Times New Roman" w:hint="eastAsia"/>
        </w:rPr>
        <w:t>Huawei, RAN#109.</w:t>
      </w:r>
    </w:p>
    <w:sectPr w:rsidR="008E5A66" w:rsidRPr="003D4214">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ACFBF" w14:textId="77777777" w:rsidR="00B229A1" w:rsidRDefault="00B229A1" w:rsidP="007E2FC8">
      <w:pPr>
        <w:spacing w:after="0"/>
      </w:pPr>
      <w:r>
        <w:separator/>
      </w:r>
    </w:p>
    <w:p w14:paraId="3FA09F57" w14:textId="77777777" w:rsidR="00B229A1" w:rsidRDefault="00B229A1"/>
    <w:p w14:paraId="100D94FD" w14:textId="77777777" w:rsidR="00B229A1" w:rsidRDefault="00B229A1" w:rsidP="00273403"/>
  </w:endnote>
  <w:endnote w:type="continuationSeparator" w:id="0">
    <w:p w14:paraId="0F6605DC" w14:textId="77777777" w:rsidR="00B229A1" w:rsidRDefault="00B229A1" w:rsidP="007E2FC8">
      <w:pPr>
        <w:spacing w:after="0"/>
      </w:pPr>
      <w:r>
        <w:continuationSeparator/>
      </w:r>
    </w:p>
    <w:p w14:paraId="57FB8C95" w14:textId="77777777" w:rsidR="00B229A1" w:rsidRDefault="00B229A1"/>
    <w:p w14:paraId="684D0ACA" w14:textId="77777777" w:rsidR="00B229A1" w:rsidRDefault="00B229A1" w:rsidP="002734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6A2E8" w14:textId="77777777" w:rsidR="001E0100"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D3479C5" w14:textId="77777777" w:rsidR="001E0100" w:rsidRDefault="001E0100">
    <w:pPr>
      <w:pStyle w:val="a5"/>
    </w:pPr>
  </w:p>
  <w:p w14:paraId="4136D0A6" w14:textId="77777777" w:rsidR="00A32033" w:rsidRDefault="00A32033"/>
  <w:p w14:paraId="518E4927" w14:textId="77777777" w:rsidR="00A32033" w:rsidRDefault="00A32033" w:rsidP="002734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3D9CF" w14:textId="77777777" w:rsidR="001E0100"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03EFB20D" w14:textId="77777777" w:rsidR="00A32033" w:rsidRDefault="00A32033" w:rsidP="00EB1A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DF989B" w14:textId="77777777" w:rsidR="00B229A1" w:rsidRDefault="00B229A1" w:rsidP="007E2FC8">
      <w:pPr>
        <w:spacing w:after="0"/>
      </w:pPr>
      <w:r>
        <w:separator/>
      </w:r>
    </w:p>
    <w:p w14:paraId="0CEE329A" w14:textId="77777777" w:rsidR="00B229A1" w:rsidRDefault="00B229A1"/>
    <w:p w14:paraId="2917EB94" w14:textId="77777777" w:rsidR="00B229A1" w:rsidRDefault="00B229A1" w:rsidP="00273403"/>
  </w:footnote>
  <w:footnote w:type="continuationSeparator" w:id="0">
    <w:p w14:paraId="68FD9332" w14:textId="77777777" w:rsidR="00B229A1" w:rsidRDefault="00B229A1" w:rsidP="007E2FC8">
      <w:pPr>
        <w:spacing w:after="0"/>
      </w:pPr>
      <w:r>
        <w:continuationSeparator/>
      </w:r>
    </w:p>
    <w:p w14:paraId="6304E2E4" w14:textId="77777777" w:rsidR="00B229A1" w:rsidRDefault="00B229A1"/>
    <w:p w14:paraId="4D813D16" w14:textId="77777777" w:rsidR="00B229A1" w:rsidRDefault="00B229A1" w:rsidP="002734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505C5"/>
    <w:multiLevelType w:val="hybridMultilevel"/>
    <w:tmpl w:val="39E67B3A"/>
    <w:lvl w:ilvl="0" w:tplc="64AC8A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2CAC6B58"/>
    <w:multiLevelType w:val="hybridMultilevel"/>
    <w:tmpl w:val="6A98DD7A"/>
    <w:lvl w:ilvl="0" w:tplc="2A8A6AA2">
      <w:numFmt w:val="bullet"/>
      <w:lvlText w:val="-"/>
      <w:lvlJc w:val="left"/>
      <w:pPr>
        <w:ind w:left="1918" w:hanging="360"/>
      </w:pPr>
      <w:rPr>
        <w:rFonts w:ascii="Times New Roman" w:eastAsia="BIZ UDPゴシック" w:hAnsi="Times New Roman" w:cs="Times New Roman" w:hint="default"/>
      </w:rPr>
    </w:lvl>
    <w:lvl w:ilvl="1" w:tplc="0409000B">
      <w:start w:val="1"/>
      <w:numFmt w:val="bullet"/>
      <w:lvlText w:val=""/>
      <w:lvlJc w:val="left"/>
      <w:pPr>
        <w:ind w:left="2438" w:hanging="440"/>
      </w:pPr>
      <w:rPr>
        <w:rFonts w:ascii="Wingdings" w:hAnsi="Wingdings" w:hint="default"/>
      </w:rPr>
    </w:lvl>
    <w:lvl w:ilvl="2" w:tplc="0409000D" w:tentative="1">
      <w:start w:val="1"/>
      <w:numFmt w:val="bullet"/>
      <w:lvlText w:val=""/>
      <w:lvlJc w:val="left"/>
      <w:pPr>
        <w:ind w:left="2878" w:hanging="440"/>
      </w:pPr>
      <w:rPr>
        <w:rFonts w:ascii="Wingdings" w:hAnsi="Wingdings" w:hint="default"/>
      </w:rPr>
    </w:lvl>
    <w:lvl w:ilvl="3" w:tplc="04090001" w:tentative="1">
      <w:start w:val="1"/>
      <w:numFmt w:val="bullet"/>
      <w:lvlText w:val=""/>
      <w:lvlJc w:val="left"/>
      <w:pPr>
        <w:ind w:left="3318" w:hanging="440"/>
      </w:pPr>
      <w:rPr>
        <w:rFonts w:ascii="Wingdings" w:hAnsi="Wingdings" w:hint="default"/>
      </w:rPr>
    </w:lvl>
    <w:lvl w:ilvl="4" w:tplc="0409000B" w:tentative="1">
      <w:start w:val="1"/>
      <w:numFmt w:val="bullet"/>
      <w:lvlText w:val=""/>
      <w:lvlJc w:val="left"/>
      <w:pPr>
        <w:ind w:left="3758" w:hanging="440"/>
      </w:pPr>
      <w:rPr>
        <w:rFonts w:ascii="Wingdings" w:hAnsi="Wingdings" w:hint="default"/>
      </w:rPr>
    </w:lvl>
    <w:lvl w:ilvl="5" w:tplc="0409000D" w:tentative="1">
      <w:start w:val="1"/>
      <w:numFmt w:val="bullet"/>
      <w:lvlText w:val=""/>
      <w:lvlJc w:val="left"/>
      <w:pPr>
        <w:ind w:left="4198" w:hanging="440"/>
      </w:pPr>
      <w:rPr>
        <w:rFonts w:ascii="Wingdings" w:hAnsi="Wingdings" w:hint="default"/>
      </w:rPr>
    </w:lvl>
    <w:lvl w:ilvl="6" w:tplc="04090001" w:tentative="1">
      <w:start w:val="1"/>
      <w:numFmt w:val="bullet"/>
      <w:lvlText w:val=""/>
      <w:lvlJc w:val="left"/>
      <w:pPr>
        <w:ind w:left="4638" w:hanging="440"/>
      </w:pPr>
      <w:rPr>
        <w:rFonts w:ascii="Wingdings" w:hAnsi="Wingdings" w:hint="default"/>
      </w:rPr>
    </w:lvl>
    <w:lvl w:ilvl="7" w:tplc="0409000B" w:tentative="1">
      <w:start w:val="1"/>
      <w:numFmt w:val="bullet"/>
      <w:lvlText w:val=""/>
      <w:lvlJc w:val="left"/>
      <w:pPr>
        <w:ind w:left="5078" w:hanging="440"/>
      </w:pPr>
      <w:rPr>
        <w:rFonts w:ascii="Wingdings" w:hAnsi="Wingdings" w:hint="default"/>
      </w:rPr>
    </w:lvl>
    <w:lvl w:ilvl="8" w:tplc="0409000D" w:tentative="1">
      <w:start w:val="1"/>
      <w:numFmt w:val="bullet"/>
      <w:lvlText w:val=""/>
      <w:lvlJc w:val="left"/>
      <w:pPr>
        <w:ind w:left="5518" w:hanging="440"/>
      </w:pPr>
      <w:rPr>
        <w:rFonts w:ascii="Wingdings" w:hAnsi="Wingdings" w:hint="default"/>
      </w:rPr>
    </w:lvl>
  </w:abstractNum>
  <w:abstractNum w:abstractNumId="2" w15:restartNumberingAfterBreak="0">
    <w:nsid w:val="31183569"/>
    <w:multiLevelType w:val="hybridMultilevel"/>
    <w:tmpl w:val="98F4381C"/>
    <w:lvl w:ilvl="0" w:tplc="77847774">
      <w:start w:val="5"/>
      <w:numFmt w:val="decimal"/>
      <w:lvlText w:val="%1"/>
      <w:lvlJc w:val="left"/>
      <w:pPr>
        <w:ind w:left="1619"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num w:numId="1" w16cid:durableId="866942341">
    <w:abstractNumId w:val="5"/>
  </w:num>
  <w:num w:numId="2" w16cid:durableId="1916432099">
    <w:abstractNumId w:val="3"/>
  </w:num>
  <w:num w:numId="3" w16cid:durableId="961111639">
    <w:abstractNumId w:val="4"/>
  </w:num>
  <w:num w:numId="4" w16cid:durableId="968321986">
    <w:abstractNumId w:val="0"/>
  </w:num>
  <w:num w:numId="5" w16cid:durableId="414935798">
    <w:abstractNumId w:val="2"/>
  </w:num>
  <w:num w:numId="6" w16cid:durableId="19280282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1078E"/>
    <w:rsid w:val="00067822"/>
    <w:rsid w:val="00092754"/>
    <w:rsid w:val="000B6616"/>
    <w:rsid w:val="001376E5"/>
    <w:rsid w:val="0019721B"/>
    <w:rsid w:val="001A397F"/>
    <w:rsid w:val="001C3ED8"/>
    <w:rsid w:val="001E0100"/>
    <w:rsid w:val="001E1D1E"/>
    <w:rsid w:val="001F5454"/>
    <w:rsid w:val="0022600F"/>
    <w:rsid w:val="00262F8E"/>
    <w:rsid w:val="00273403"/>
    <w:rsid w:val="00296B08"/>
    <w:rsid w:val="002B674A"/>
    <w:rsid w:val="002E7F5D"/>
    <w:rsid w:val="0031604E"/>
    <w:rsid w:val="003169E4"/>
    <w:rsid w:val="00331A6A"/>
    <w:rsid w:val="003323C1"/>
    <w:rsid w:val="00337300"/>
    <w:rsid w:val="00350DF7"/>
    <w:rsid w:val="00385B37"/>
    <w:rsid w:val="00386C04"/>
    <w:rsid w:val="003965B3"/>
    <w:rsid w:val="003D4214"/>
    <w:rsid w:val="003F210F"/>
    <w:rsid w:val="00452602"/>
    <w:rsid w:val="004A3CEE"/>
    <w:rsid w:val="004D1B48"/>
    <w:rsid w:val="004E6B03"/>
    <w:rsid w:val="004F2770"/>
    <w:rsid w:val="004F6390"/>
    <w:rsid w:val="004F6A51"/>
    <w:rsid w:val="00537958"/>
    <w:rsid w:val="005658CA"/>
    <w:rsid w:val="005839E2"/>
    <w:rsid w:val="005857F6"/>
    <w:rsid w:val="00592239"/>
    <w:rsid w:val="005E2917"/>
    <w:rsid w:val="005F1EB4"/>
    <w:rsid w:val="005F73C8"/>
    <w:rsid w:val="0064067A"/>
    <w:rsid w:val="00654D47"/>
    <w:rsid w:val="00682DDE"/>
    <w:rsid w:val="006F7F95"/>
    <w:rsid w:val="0073527D"/>
    <w:rsid w:val="00735D62"/>
    <w:rsid w:val="00765014"/>
    <w:rsid w:val="007810E7"/>
    <w:rsid w:val="007D1A4E"/>
    <w:rsid w:val="007D23E4"/>
    <w:rsid w:val="007E2FC8"/>
    <w:rsid w:val="007E7F61"/>
    <w:rsid w:val="008054C1"/>
    <w:rsid w:val="00806285"/>
    <w:rsid w:val="0083168F"/>
    <w:rsid w:val="00896DC7"/>
    <w:rsid w:val="008A7A84"/>
    <w:rsid w:val="008C2D47"/>
    <w:rsid w:val="008E5A66"/>
    <w:rsid w:val="0092515C"/>
    <w:rsid w:val="00935028"/>
    <w:rsid w:val="009C1ECC"/>
    <w:rsid w:val="009D51E7"/>
    <w:rsid w:val="009E05B0"/>
    <w:rsid w:val="009E331A"/>
    <w:rsid w:val="00A04FB3"/>
    <w:rsid w:val="00A17CCB"/>
    <w:rsid w:val="00A32033"/>
    <w:rsid w:val="00A5129A"/>
    <w:rsid w:val="00A951CE"/>
    <w:rsid w:val="00AB422A"/>
    <w:rsid w:val="00AF66DC"/>
    <w:rsid w:val="00B229A1"/>
    <w:rsid w:val="00B329A1"/>
    <w:rsid w:val="00B67D35"/>
    <w:rsid w:val="00B7597D"/>
    <w:rsid w:val="00B75B6B"/>
    <w:rsid w:val="00BB03A7"/>
    <w:rsid w:val="00BC1ADB"/>
    <w:rsid w:val="00BE54E2"/>
    <w:rsid w:val="00BE58B6"/>
    <w:rsid w:val="00C358AF"/>
    <w:rsid w:val="00C83942"/>
    <w:rsid w:val="00C97CFC"/>
    <w:rsid w:val="00CB41C7"/>
    <w:rsid w:val="00D24DD6"/>
    <w:rsid w:val="00D8679B"/>
    <w:rsid w:val="00D94041"/>
    <w:rsid w:val="00DA23D6"/>
    <w:rsid w:val="00DB3109"/>
    <w:rsid w:val="00DB76B3"/>
    <w:rsid w:val="00DD53A9"/>
    <w:rsid w:val="00E2631E"/>
    <w:rsid w:val="00E94CAF"/>
    <w:rsid w:val="00EB1AD1"/>
    <w:rsid w:val="00F560E5"/>
    <w:rsid w:val="00FA6789"/>
    <w:rsid w:val="00FC1DBA"/>
    <w:rsid w:val="00FD5B7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BIZ UDPゴシック" w:hAnsi="Arial" w:cstheme="minorBidi"/>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1078E"/>
    <w:pPr>
      <w:spacing w:after="180"/>
    </w:pPr>
    <w:rPr>
      <w:rFonts w:ascii="Times New Roman" w:hAnsi="Times New Roman"/>
    </w:r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rsid w:val="007E2FC8"/>
    <w:pPr>
      <w:keepLines/>
      <w:spacing w:before="180"/>
      <w:ind w:left="1134" w:hanging="1134"/>
      <w:outlineLvl w:val="1"/>
    </w:pPr>
    <w:rPr>
      <w:rFonts w:ascii="Arial" w:eastAsia="ＭＳ 明朝" w:hAnsi="Arial"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rsid w:val="007E2FC8"/>
    <w:pPr>
      <w:keepNext/>
      <w:keepLines/>
      <w:spacing w:after="0"/>
      <w:jc w:val="center"/>
    </w:pPr>
    <w:rPr>
      <w:b/>
      <w:sz w:val="18"/>
    </w:rPr>
  </w:style>
  <w:style w:type="paragraph" w:customStyle="1" w:styleId="TAL">
    <w:name w:val="TAL"/>
    <w:basedOn w:val="a"/>
    <w:link w:val="TALCar"/>
    <w:rsid w:val="007E2FC8"/>
    <w:pPr>
      <w:keepNext/>
      <w:keepLines/>
      <w:spacing w:after="0"/>
    </w:pPr>
    <w:rPr>
      <w:sz w:val="18"/>
    </w:rPr>
  </w:style>
  <w:style w:type="paragraph" w:styleId="a7">
    <w:name w:val="Title"/>
    <w:basedOn w:val="a"/>
    <w:link w:val="a8"/>
    <w:rsid w:val="007E2FC8"/>
    <w:pPr>
      <w:overflowPunct w:val="0"/>
      <w:autoSpaceDE w:val="0"/>
      <w:autoSpaceDN w:val="0"/>
      <w:adjustRightInd w:val="0"/>
      <w:spacing w:after="120"/>
      <w:jc w:val="center"/>
      <w:textAlignment w:val="baseline"/>
    </w:pPr>
    <w:rPr>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paragraph" w:customStyle="1" w:styleId="Reference">
    <w:name w:val="Reference"/>
    <w:basedOn w:val="a"/>
    <w:link w:val="Reference0"/>
    <w:qFormat/>
    <w:rsid w:val="0001078E"/>
    <w:pPr>
      <w:ind w:left="424" w:hangingChars="202" w:hanging="424"/>
    </w:pPr>
    <w:rPr>
      <w:szCs w:val="22"/>
    </w:rPr>
  </w:style>
  <w:style w:type="paragraph" w:customStyle="1" w:styleId="ObservationandProposal">
    <w:name w:val="Observation and Proposal"/>
    <w:basedOn w:val="a"/>
    <w:link w:val="ObservationandProposal0"/>
    <w:qFormat/>
    <w:rsid w:val="0001078E"/>
    <w:pPr>
      <w:ind w:left="1558" w:hangingChars="742" w:hanging="1558"/>
    </w:pPr>
    <w:rPr>
      <w:b/>
      <w:bCs/>
      <w:szCs w:val="22"/>
    </w:rPr>
  </w:style>
  <w:style w:type="character" w:customStyle="1" w:styleId="Reference0">
    <w:name w:val="Reference (文字)"/>
    <w:basedOn w:val="a0"/>
    <w:link w:val="Reference"/>
    <w:rsid w:val="0001078E"/>
    <w:rPr>
      <w:rFonts w:ascii="Times New Roman" w:hAnsi="Times New Roman"/>
      <w:szCs w:val="22"/>
    </w:rPr>
  </w:style>
  <w:style w:type="character" w:customStyle="1" w:styleId="ObservationandProposal0">
    <w:name w:val="Observation and Proposal (文字)"/>
    <w:basedOn w:val="a0"/>
    <w:link w:val="ObservationandProposal"/>
    <w:rsid w:val="0001078E"/>
    <w:rPr>
      <w:rFonts w:ascii="Times New Roman" w:hAnsi="Times New Roman"/>
      <w:b/>
      <w:bCs/>
      <w:szCs w:val="22"/>
    </w:rPr>
  </w:style>
  <w:style w:type="paragraph" w:customStyle="1" w:styleId="Doc-text2">
    <w:name w:val="Doc-text2"/>
    <w:basedOn w:val="a"/>
    <w:link w:val="Doc-text2Char"/>
    <w:rsid w:val="00296B08"/>
    <w:pPr>
      <w:tabs>
        <w:tab w:val="left" w:pos="1622"/>
      </w:tabs>
      <w:spacing w:after="0"/>
      <w:ind w:left="1622" w:hanging="363"/>
    </w:pPr>
    <w:rPr>
      <w:rFonts w:ascii="Arial" w:eastAsia="ＭＳ 明朝" w:hAnsi="Arial" w:cs="Times New Roman"/>
      <w:sz w:val="20"/>
      <w:szCs w:val="24"/>
      <w:lang w:val="en-GB" w:eastAsia="en-GB"/>
    </w:rPr>
  </w:style>
  <w:style w:type="character" w:customStyle="1" w:styleId="Doc-text2Char">
    <w:name w:val="Doc-text2 Char"/>
    <w:link w:val="Doc-text2"/>
    <w:qFormat/>
    <w:rsid w:val="00296B08"/>
    <w:rPr>
      <w:rFonts w:eastAsia="ＭＳ 明朝" w:cs="Times New Roman"/>
      <w:sz w:val="20"/>
      <w:szCs w:val="24"/>
      <w:lang w:val="en-GB" w:eastAsia="en-GB"/>
    </w:rPr>
  </w:style>
  <w:style w:type="table" w:styleId="aa">
    <w:name w:val="Table Grid"/>
    <w:basedOn w:val="a1"/>
    <w:uiPriority w:val="39"/>
    <w:rsid w:val="008054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List Table 3 Accent 6"/>
    <w:basedOn w:val="a1"/>
    <w:uiPriority w:val="48"/>
    <w:rsid w:val="00CB41C7"/>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4-6">
    <w:name w:val="List Table 4 Accent 6"/>
    <w:basedOn w:val="a1"/>
    <w:uiPriority w:val="49"/>
    <w:rsid w:val="00CB41C7"/>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ab">
    <w:name w:val="List Paragraph"/>
    <w:basedOn w:val="a"/>
    <w:uiPriority w:val="34"/>
    <w:qFormat/>
    <w:rsid w:val="00331A6A"/>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107F23B605C01439F068D971F1454CD" ma:contentTypeVersion="2" ma:contentTypeDescription="新しいドキュメントを作成します。" ma:contentTypeScope="" ma:versionID="0c8169679eb5820838478d7d9fff562a">
  <xsd:schema xmlns:xsd="http://www.w3.org/2001/XMLSchema" xmlns:xs="http://www.w3.org/2001/XMLSchema" xmlns:p="http://schemas.microsoft.com/office/2006/metadata/properties" xmlns:ns2="1d40199d-7e3b-4835-af05-802312c4a0a7" targetNamespace="http://schemas.microsoft.com/office/2006/metadata/properties" ma:root="true" ma:fieldsID="c28b7d195b37a5fe3cb62fc4ac7ad727" ns2:_="">
    <xsd:import namespace="1d40199d-7e3b-4835-af05-802312c4a0a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0199d-7e3b-4835-af05-802312c4a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ACB63D-1C40-48E1-BA47-945666B2755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095FD40-BF1F-4E1D-87EB-D9B01DA869DD}">
  <ds:schemaRefs>
    <ds:schemaRef ds:uri="http://schemas.microsoft.com/sharepoint/v3/contenttype/forms"/>
  </ds:schemaRefs>
</ds:datastoreItem>
</file>

<file path=customXml/itemProps3.xml><?xml version="1.0" encoding="utf-8"?>
<ds:datastoreItem xmlns:ds="http://schemas.openxmlformats.org/officeDocument/2006/customXml" ds:itemID="{70E8F314-B567-4115-A4EC-131F3FFFDD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0199d-7e3b-4835-af05-802312c4a0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ea9713-c968-4858-9aa6-4bad09b07315}"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509</TotalTime>
  <Pages>3</Pages>
  <Words>918</Words>
  <Characters>5237</Characters>
  <Application>Microsoft Office Word</Application>
  <DocSecurity>0</DocSecurity>
  <Lines>43</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 Okawa</dc:creator>
  <cp:keywords/>
  <dc:description/>
  <cp:lastModifiedBy>Riki Okawa (大川 立樹)</cp:lastModifiedBy>
  <cp:revision>64</cp:revision>
  <dcterms:created xsi:type="dcterms:W3CDTF">2021-10-20T07:13:00Z</dcterms:created>
  <dcterms:modified xsi:type="dcterms:W3CDTF">2025-10-03T07:10:00Z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0x0101002107F23B605C01439F068D971F1454CD</vt:lpwstr>
  </property>
  <property fmtid="{D5CDD505-2E9C-101B-9397-08002B2CF9AE}" pid="3" name="MSIP_Label_32ea9713-c968-4858-9aa6-4bad09b07315_Enabled">
    <vt:lpwstr>true</vt:lpwstr>
  </property>
  <property fmtid="{D5CDD505-2E9C-101B-9397-08002B2CF9AE}" pid="4" name="MSIP_Label_32ea9713-c968-4858-9aa6-4bad09b07315_SetDate">
    <vt:lpwstr>2023-03-15T08:43:15Z</vt:lpwstr>
  </property>
  <property fmtid="{D5CDD505-2E9C-101B-9397-08002B2CF9AE}" pid="5" name="MSIP_Label_32ea9713-c968-4858-9aa6-4bad09b07315_Method">
    <vt:lpwstr>Privileged</vt:lpwstr>
  </property>
  <property fmtid="{D5CDD505-2E9C-101B-9397-08002B2CF9AE}" pid="6" name="MSIP_Label_32ea9713-c968-4858-9aa6-4bad09b07315_Name">
    <vt:lpwstr>管理対象外</vt:lpwstr>
  </property>
  <property fmtid="{D5CDD505-2E9C-101B-9397-08002B2CF9AE}" pid="7" name="MSIP_Label_32ea9713-c968-4858-9aa6-4bad09b07315_SiteId">
    <vt:lpwstr>6786d483-f51b-44bd-b40a-6fe409a5265e</vt:lpwstr>
  </property>
  <property fmtid="{D5CDD505-2E9C-101B-9397-08002B2CF9AE}" pid="8" name="MSIP_Label_32ea9713-c968-4858-9aa6-4bad09b07315_ActionId">
    <vt:lpwstr>6ec19f7d-8be0-40c7-9e87-16f4dda01d26</vt:lpwstr>
  </property>
  <property fmtid="{D5CDD505-2E9C-101B-9397-08002B2CF9AE}" pid="9" name="MSIP_Label_32ea9713-c968-4858-9aa6-4bad09b07315_ContentBits">
    <vt:lpwstr>0</vt:lpwstr>
  </property>
</Properties>
</file>